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01.140.40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19</w:t>
            </w:r>
            <w:r>
              <w:rPr>
                <w:rFonts w:ascii="黑体" w:hAnsi="黑体" w:eastAsia="黑体"/>
                <w:sz w:val="21"/>
                <w:szCs w:val="21"/>
              </w:rPr>
              <w:fldChar w:fldCharType="end"/>
            </w:r>
            <w:bookmarkEnd w:id="1"/>
          </w:p>
        </w:tc>
      </w:tr>
    </w:tbl>
    <w:tbl>
      <w:tblPr>
        <w:tblStyle w:val="36"/>
        <w:tblpPr w:leftFromText="181" w:rightFromText="181" w:horzAnchor="margin" w:tblpX="3857" w:tblpY="568"/>
        <w:tblW w:w="499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1128" w:hRule="atLeast"/>
        </w:trPr>
        <w:tc>
          <w:tcPr>
            <w:tcW w:w="4990" w:type="dxa"/>
          </w:tcPr>
          <w:p>
            <w:pPr>
              <w:pStyle w:val="52"/>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CY</w:t>
            </w:r>
            <w:r>
              <w:fldChar w:fldCharType="end"/>
            </w:r>
            <w:bookmarkEnd w:id="3"/>
          </w:p>
        </w:tc>
      </w:tr>
    </w:tbl>
    <w:p>
      <w:pPr>
        <w:pStyle w:val="53"/>
        <w:framePr w:w="9639" w:h="624" w:hRule="exact" w:hSpace="181" w:vSpace="181"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新闻出版</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8"/>
        <w:framePr/>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CY/T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framePr/>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rPr>
        <w:t>代替</w:t>
      </w:r>
      <w:r>
        <w:rPr>
          <w:rFonts w:hAnsi="黑体"/>
          <w:lang w:val="fr-FR"/>
        </w:rPr>
        <w:t xml:space="preserve"> XX/T</w:t>
      </w:r>
      <w:r>
        <w:rPr>
          <w:rFonts w:hAnsi="黑体"/>
        </w:rPr>
        <w:fldChar w:fldCharType="end"/>
      </w:r>
      <w:bookmarkEnd w:id="8"/>
    </w:p>
    <w:p>
      <w:pPr>
        <w:spacing w:line="240" w:lineRule="auto"/>
        <w:rPr>
          <w:rFonts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ascii="黑体" w:hAnsi="黑体" w:eastAsia="黑体"/>
          <w:b w:val="0"/>
          <w:bCs w:val="0"/>
          <w:w w:val="100"/>
          <w:lang w:val="fr-FR"/>
        </w:rPr>
      </w:pPr>
    </w:p>
    <w:p>
      <w:pPr>
        <w:pStyle w:val="200"/>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出版数据</w:t>
      </w:r>
      <w:r>
        <w:t>要素</w:t>
      </w:r>
      <w:r>
        <w:rPr>
          <w:rFonts w:hint="eastAsia"/>
        </w:rPr>
        <w:t xml:space="preserve"> 数据</w:t>
      </w:r>
      <w:r>
        <w:t>安全</w:t>
      </w:r>
      <w:r>
        <w:rPr>
          <w:rFonts w:hint="eastAsia"/>
        </w:rPr>
        <w:t xml:space="preserve"> </w:t>
      </w:r>
    </w:p>
    <w:p>
      <w:pPr>
        <w:pStyle w:val="200"/>
        <w:framePr w:h="6974" w:hRule="exact" w:x="1419" w:anchorLock="1"/>
      </w:pPr>
      <w:r>
        <w:rPr>
          <w:rFonts w:hint="eastAsia"/>
        </w:rPr>
        <w:t>数据</w:t>
      </w:r>
      <w:r>
        <w:t>分类分级指南</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Publishing data elements—Data security—Guidelines for </w:t>
      </w:r>
      <w:r>
        <w:rPr>
          <w:rFonts w:hint="eastAsia" w:eastAsia="黑体"/>
          <w:szCs w:val="28"/>
        </w:rPr>
        <w:t xml:space="preserve">data </w:t>
      </w:r>
      <w:r>
        <w:rPr>
          <w:rFonts w:eastAsia="黑体"/>
          <w:szCs w:val="28"/>
        </w:rPr>
        <w:t>classification and grading</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025-12-22</w:t>
      </w:r>
      <w:r>
        <w:rPr>
          <w:rFonts w:hint="eastAsia"/>
          <w:sz w:val="21"/>
          <w:szCs w:val="28"/>
        </w:rPr>
        <w:t>）</w:t>
      </w:r>
      <w:r>
        <w:rPr>
          <w:sz w:val="21"/>
          <w:szCs w:val="28"/>
        </w:rPr>
        <w:fldChar w:fldCharType="end"/>
      </w:r>
      <w:bookmarkEnd w:id="13"/>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6"/>
        <w:framePr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4"/>
        <w:framePr w:h="584" w:hRule="exact" w:hSpace="181" w:vSpace="181" w:y="14800"/>
        <w:rPr>
          <w:rFonts w:hAnsi="黑体"/>
        </w:rPr>
      </w:pPr>
      <w:r>
        <w:rPr>
          <w:rFonts w:hAnsi="黑体"/>
          <w:w w:val="100"/>
          <w:sz w:val="28"/>
        </w:rPr>
        <w:fldChar w:fldCharType="begin">
          <w:ffData>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国家新闻出版署</w:t>
      </w:r>
      <w:r>
        <w:rPr>
          <w:rFonts w:hAnsi="黑体"/>
          <w:w w:val="100"/>
          <w:sz w:val="28"/>
        </w:rPr>
        <w:fldChar w:fldCharType="end"/>
      </w:r>
      <w:bookmarkEnd w:id="21"/>
      <w:r>
        <w:rPr>
          <w:rFonts w:ascii="Times New Roman"/>
          <w:w w:val="100"/>
          <w:sz w:val="28"/>
          <w:szCs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4"/>
        <w:spacing w:after="360"/>
      </w:pPr>
      <w:bookmarkStart w:id="75" w:name="_GoBack"/>
      <w:bookmarkEnd w:id="75"/>
      <w:bookmarkStart w:id="22" w:name="BookMark1"/>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"_Toc217290823" </w:instrText>
      </w:r>
      <w:r>
        <w:fldChar w:fldCharType="separate"/>
      </w:r>
      <w:r>
        <w:rPr>
          <w:rStyle w:val="32"/>
          <w:rFonts w:hint="eastAsia"/>
        </w:rPr>
        <w:t>前言</w:t>
      </w:r>
      <w:r>
        <w:tab/>
      </w:r>
      <w:r>
        <w:fldChar w:fldCharType="begin"/>
      </w:r>
      <w:r>
        <w:instrText xml:space="preserve"> PAGEREF _Toc217290823 \h </w:instrText>
      </w:r>
      <w:r>
        <w:fldChar w:fldCharType="separate"/>
      </w:r>
      <w:r>
        <w:t>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"_Toc217290824" </w:instrText>
      </w:r>
      <w:r>
        <w:fldChar w:fldCharType="separate"/>
      </w:r>
      <w:r>
        <w:rPr>
          <w:rStyle w:val="32"/>
          <w:rFonts w:hint="eastAsia"/>
        </w:rPr>
        <w:t>引言</w:t>
      </w:r>
      <w:r>
        <w:tab/>
      </w:r>
      <w:r>
        <w:fldChar w:fldCharType="begin"/>
      </w:r>
      <w:r>
        <w:instrText xml:space="preserve"> PAGEREF _Toc217290824 \h </w:instrText>
      </w:r>
      <w:r>
        <w:fldChar w:fldCharType="separate"/>
      </w:r>
      <w:r>
        <w:t>III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"_Toc217290825" </w:instrText>
      </w:r>
      <w:r>
        <w:fldChar w:fldCharType="separate"/>
      </w:r>
      <w:r>
        <w:rPr>
          <w:rStyle w:val="32"/>
        </w:rPr>
        <w:t>1</w:t>
      </w:r>
      <w:r>
        <w:rPr>
          <w:rStyle w:val="32"/>
          <w:rFonts w:hint="eastAsia"/>
        </w:rPr>
        <w:t xml:space="preserve"> 范围</w:t>
      </w:r>
      <w:r>
        <w:tab/>
      </w:r>
      <w:r>
        <w:fldChar w:fldCharType="begin"/>
      </w:r>
      <w:r>
        <w:instrText xml:space="preserve"> PAGEREF _Toc217290825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"_Toc217290826" </w:instrText>
      </w:r>
      <w:r>
        <w:fldChar w:fldCharType="separate"/>
      </w:r>
      <w:r>
        <w:rPr>
          <w:rStyle w:val="32"/>
        </w:rPr>
        <w:t>2</w:t>
      </w:r>
      <w:r>
        <w:rPr>
          <w:rStyle w:val="32"/>
          <w:rFonts w:hint="eastAsia"/>
        </w:rPr>
        <w:t xml:space="preserve"> 规范性引用文件</w:t>
      </w:r>
      <w:r>
        <w:tab/>
      </w:r>
      <w:r>
        <w:fldChar w:fldCharType="begin"/>
      </w:r>
      <w:r>
        <w:instrText xml:space="preserve"> PAGEREF _Toc217290826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"_Toc217290827" </w:instrText>
      </w:r>
      <w:r>
        <w:fldChar w:fldCharType="separate"/>
      </w:r>
      <w:r>
        <w:rPr>
          <w:rStyle w:val="32"/>
        </w:rPr>
        <w:t>3</w:t>
      </w:r>
      <w:r>
        <w:rPr>
          <w:rStyle w:val="32"/>
          <w:rFonts w:hint="eastAsia"/>
        </w:rPr>
        <w:t xml:space="preserve"> 术语和定义</w:t>
      </w:r>
      <w:r>
        <w:tab/>
      </w:r>
      <w:r>
        <w:fldChar w:fldCharType="begin"/>
      </w:r>
      <w:r>
        <w:instrText xml:space="preserve"> PAGEREF _Toc217290827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"_Toc217290828" </w:instrText>
      </w:r>
      <w:r>
        <w:fldChar w:fldCharType="separate"/>
      </w:r>
      <w:r>
        <w:rPr>
          <w:rStyle w:val="32"/>
        </w:rPr>
        <w:t>4</w:t>
      </w:r>
      <w:r>
        <w:rPr>
          <w:rStyle w:val="32"/>
          <w:rFonts w:hint="eastAsia"/>
        </w:rPr>
        <w:t xml:space="preserve"> 分类分级基本原则</w:t>
      </w:r>
      <w:r>
        <w:tab/>
      </w:r>
      <w:r>
        <w:fldChar w:fldCharType="begin"/>
      </w:r>
      <w:r>
        <w:instrText xml:space="preserve"> PAGEREF _Toc217290828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"_Toc217290829" </w:instrText>
      </w:r>
      <w:r>
        <w:fldChar w:fldCharType="separate"/>
      </w:r>
      <w:r>
        <w:rPr>
          <w:rStyle w:val="32"/>
        </w:rPr>
        <w:t>5</w:t>
      </w:r>
      <w:r>
        <w:rPr>
          <w:rStyle w:val="32"/>
          <w:rFonts w:hint="eastAsia"/>
        </w:rPr>
        <w:t xml:space="preserve"> 数据分类</w:t>
      </w:r>
      <w:r>
        <w:tab/>
      </w:r>
      <w:r>
        <w:fldChar w:fldCharType="begin"/>
      </w:r>
      <w:r>
        <w:instrText xml:space="preserve"> PAGEREF _Toc217290829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"_Toc217290830" </w:instrText>
      </w:r>
      <w:r>
        <w:fldChar w:fldCharType="separate"/>
      </w:r>
      <w:r>
        <w:rPr>
          <w:rStyle w:val="32"/>
          <w14:scene3d w14:prst="orthographicFront">
            <w14:lightRig w14:rig="threePt" w14:dir="t">
              <w14:rot w14:lat="0" w14:lon="0" w14:rev="0"/>
            </w14:lightRig>
          </w14:scene3d>
        </w:rPr>
        <w:t>5.1</w:t>
      </w:r>
      <w:r>
        <w:rPr>
          <w:rStyle w:val="32"/>
          <w:rFonts w:hint="eastAsia"/>
        </w:rPr>
        <w:t xml:space="preserve"> 数据分类方法</w:t>
      </w:r>
      <w:r>
        <w:tab/>
      </w:r>
      <w:r>
        <w:fldChar w:fldCharType="begin"/>
      </w:r>
      <w:r>
        <w:instrText xml:space="preserve"> PAGEREF _Toc217290830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"_Toc217290831" </w:instrText>
      </w:r>
      <w:r>
        <w:fldChar w:fldCharType="separate"/>
      </w:r>
      <w:r>
        <w:rPr>
          <w:rStyle w:val="32"/>
          <w14:scene3d w14:prst="orthographicFront">
            <w14:lightRig w14:rig="threePt" w14:dir="t">
              <w14:rot w14:lat="0" w14:lon="0" w14:rev="0"/>
            </w14:lightRig>
          </w14:scene3d>
        </w:rPr>
        <w:t>5.2</w:t>
      </w:r>
      <w:r>
        <w:rPr>
          <w:rStyle w:val="32"/>
          <w:rFonts w:hint="eastAsia"/>
        </w:rPr>
        <w:t xml:space="preserve"> 数据分类框架</w:t>
      </w:r>
      <w:r>
        <w:tab/>
      </w:r>
      <w:r>
        <w:fldChar w:fldCharType="begin"/>
      </w:r>
      <w:r>
        <w:instrText xml:space="preserve"> PAGEREF _Toc217290831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"_Toc217290832" </w:instrText>
      </w:r>
      <w:r>
        <w:fldChar w:fldCharType="separate"/>
      </w:r>
      <w:r>
        <w:rPr>
          <w:rStyle w:val="32"/>
          <w14:scene3d w14:prst="orthographicFront">
            <w14:lightRig w14:rig="threePt" w14:dir="t">
              <w14:rot w14:lat="0" w14:lon="0" w14:rev="0"/>
            </w14:lightRig>
          </w14:scene3d>
        </w:rPr>
        <w:t>5.3</w:t>
      </w:r>
      <w:r>
        <w:rPr>
          <w:rStyle w:val="32"/>
          <w:rFonts w:hint="eastAsia"/>
        </w:rPr>
        <w:t xml:space="preserve"> 数据分类流程</w:t>
      </w:r>
      <w:r>
        <w:tab/>
      </w:r>
      <w:r>
        <w:fldChar w:fldCharType="begin"/>
      </w:r>
      <w:r>
        <w:instrText xml:space="preserve"> PAGEREF _Toc217290832 \h </w:instrText>
      </w:r>
      <w:r>
        <w:fldChar w:fldCharType="separate"/>
      </w:r>
      <w:r>
        <w:t>3</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"_Toc217290833" </w:instrText>
      </w:r>
      <w:r>
        <w:fldChar w:fldCharType="separate"/>
      </w:r>
      <w:r>
        <w:rPr>
          <w:rStyle w:val="32"/>
        </w:rPr>
        <w:t>6</w:t>
      </w:r>
      <w:r>
        <w:rPr>
          <w:rStyle w:val="32"/>
          <w:rFonts w:hint="eastAsia"/>
        </w:rPr>
        <w:t xml:space="preserve"> 数据分级</w:t>
      </w:r>
      <w:r>
        <w:tab/>
      </w:r>
      <w:r>
        <w:fldChar w:fldCharType="begin"/>
      </w:r>
      <w:r>
        <w:instrText xml:space="preserve"> PAGEREF _Toc217290833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"_Toc217290834" </w:instrText>
      </w:r>
      <w:r>
        <w:fldChar w:fldCharType="separate"/>
      </w:r>
      <w:r>
        <w:rPr>
          <w:rStyle w:val="32"/>
          <w14:scene3d w14:prst="orthographicFront">
            <w14:lightRig w14:rig="threePt" w14:dir="t">
              <w14:rot w14:lat="0" w14:lon="0" w14:rev="0"/>
            </w14:lightRig>
          </w14:scene3d>
        </w:rPr>
        <w:t>6.1</w:t>
      </w:r>
      <w:r>
        <w:rPr>
          <w:rStyle w:val="32"/>
          <w:rFonts w:hint="eastAsia"/>
        </w:rPr>
        <w:t xml:space="preserve"> 数据分级框架</w:t>
      </w:r>
      <w:r>
        <w:tab/>
      </w:r>
      <w:r>
        <w:fldChar w:fldCharType="begin"/>
      </w:r>
      <w:r>
        <w:instrText xml:space="preserve"> PAGEREF _Toc217290834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"_Toc217290835" </w:instrText>
      </w:r>
      <w:r>
        <w:fldChar w:fldCharType="separate"/>
      </w:r>
      <w:r>
        <w:rPr>
          <w:rStyle w:val="32"/>
          <w14:scene3d w14:prst="orthographicFront">
            <w14:lightRig w14:rig="threePt" w14:dir="t">
              <w14:rot w14:lat="0" w14:lon="0" w14:rev="0"/>
            </w14:lightRig>
          </w14:scene3d>
        </w:rPr>
        <w:t>6.2</w:t>
      </w:r>
      <w:r>
        <w:rPr>
          <w:rStyle w:val="32"/>
          <w:rFonts w:hint="eastAsia"/>
        </w:rPr>
        <w:t xml:space="preserve"> 数据分级方法</w:t>
      </w:r>
      <w:r>
        <w:tab/>
      </w:r>
      <w:r>
        <w:fldChar w:fldCharType="begin"/>
      </w:r>
      <w:r>
        <w:instrText xml:space="preserve"> PAGEREF _Toc217290835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"_Toc217290836" </w:instrText>
      </w:r>
      <w:r>
        <w:fldChar w:fldCharType="separate"/>
      </w:r>
      <w:r>
        <w:rPr>
          <w:rStyle w:val="32"/>
          <w14:scene3d w14:prst="orthographicFront">
            <w14:lightRig w14:rig="threePt" w14:dir="t">
              <w14:rot w14:lat="0" w14:lon="0" w14:rev="0"/>
            </w14:lightRig>
          </w14:scene3d>
        </w:rPr>
        <w:t>6.3</w:t>
      </w:r>
      <w:r>
        <w:rPr>
          <w:rStyle w:val="32"/>
          <w:rFonts w:hint="eastAsia"/>
        </w:rPr>
        <w:t xml:space="preserve"> 数据分级要素</w:t>
      </w:r>
      <w:r>
        <w:tab/>
      </w:r>
      <w:r>
        <w:fldChar w:fldCharType="begin"/>
      </w:r>
      <w:r>
        <w:instrText xml:space="preserve"> PAGEREF _Toc217290836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"_Toc217290837" </w:instrText>
      </w:r>
      <w:r>
        <w:fldChar w:fldCharType="separate"/>
      </w:r>
      <w:r>
        <w:rPr>
          <w:rStyle w:val="32"/>
          <w14:scene3d w14:prst="orthographicFront">
            <w14:lightRig w14:rig="threePt" w14:dir="t">
              <w14:rot w14:lat="0" w14:lon="0" w14:rev="0"/>
            </w14:lightRig>
          </w14:scene3d>
        </w:rPr>
        <w:t>6.4</w:t>
      </w:r>
      <w:r>
        <w:rPr>
          <w:rStyle w:val="32"/>
          <w:rFonts w:hint="eastAsia"/>
        </w:rPr>
        <w:t xml:space="preserve"> 影响对象和影响程度</w:t>
      </w:r>
      <w:r>
        <w:tab/>
      </w:r>
      <w:r>
        <w:fldChar w:fldCharType="begin"/>
      </w:r>
      <w:r>
        <w:instrText xml:space="preserve"> PAGEREF _Toc217290837 \h </w:instrText>
      </w:r>
      <w:r>
        <w:fldChar w:fldCharType="separate"/>
      </w:r>
      <w:r>
        <w:t>4</w:t>
      </w:r>
      <w:r>
        <w:fldChar w:fldCharType="end"/>
      </w:r>
      <w:r>
        <w:fldChar w:fldCharType="end"/>
      </w:r>
    </w:p>
    <w:p>
      <w:pPr>
        <w:pStyle w:val="17"/>
        <w:tabs>
          <w:tab w:val="right" w:leader="dot" w:pos="9344"/>
        </w:tabs>
        <w:rPr>
          <w:rFonts w:asciiTheme="minorHAnsi" w:hAnsiTheme="minorHAnsi" w:eastAsiaTheme="minorEastAsia" w:cstheme="minorBidi"/>
          <w:szCs w:val="22"/>
        </w:rPr>
      </w:pPr>
      <w:r>
        <w:fldChar w:fldCharType="begin"/>
      </w:r>
      <w:r>
        <w:instrText xml:space="preserve"> HYPERLINK \l "_Toc217290838" </w:instrText>
      </w:r>
      <w:r>
        <w:fldChar w:fldCharType="separate"/>
      </w:r>
      <w:r>
        <w:rPr>
          <w:rStyle w:val="32"/>
        </w:rPr>
        <w:t>6.4.1</w:t>
      </w:r>
      <w:r>
        <w:rPr>
          <w:rStyle w:val="32"/>
          <w:rFonts w:hint="eastAsia"/>
        </w:rPr>
        <w:t xml:space="preserve"> 影响对象</w:t>
      </w:r>
      <w:r>
        <w:tab/>
      </w:r>
      <w:r>
        <w:fldChar w:fldCharType="begin"/>
      </w:r>
      <w:r>
        <w:instrText xml:space="preserve"> PAGEREF _Toc217290838 \h </w:instrText>
      </w:r>
      <w:r>
        <w:fldChar w:fldCharType="separate"/>
      </w:r>
      <w:r>
        <w:t>4</w:t>
      </w:r>
      <w:r>
        <w:fldChar w:fldCharType="end"/>
      </w:r>
      <w:r>
        <w:fldChar w:fldCharType="end"/>
      </w:r>
    </w:p>
    <w:p>
      <w:pPr>
        <w:pStyle w:val="17"/>
        <w:tabs>
          <w:tab w:val="right" w:leader="dot" w:pos="9344"/>
        </w:tabs>
        <w:rPr>
          <w:rFonts w:asciiTheme="minorHAnsi" w:hAnsiTheme="minorHAnsi" w:eastAsiaTheme="minorEastAsia" w:cstheme="minorBidi"/>
          <w:szCs w:val="22"/>
        </w:rPr>
      </w:pPr>
      <w:r>
        <w:fldChar w:fldCharType="begin"/>
      </w:r>
      <w:r>
        <w:instrText xml:space="preserve"> HYPERLINK \l "_Toc217290839" </w:instrText>
      </w:r>
      <w:r>
        <w:fldChar w:fldCharType="separate"/>
      </w:r>
      <w:r>
        <w:rPr>
          <w:rStyle w:val="32"/>
        </w:rPr>
        <w:t>6.4.2</w:t>
      </w:r>
      <w:r>
        <w:rPr>
          <w:rStyle w:val="32"/>
          <w:rFonts w:hint="eastAsia"/>
        </w:rPr>
        <w:t xml:space="preserve"> 影响程度</w:t>
      </w:r>
      <w:r>
        <w:tab/>
      </w:r>
      <w:r>
        <w:fldChar w:fldCharType="begin"/>
      </w:r>
      <w:r>
        <w:instrText xml:space="preserve"> PAGEREF _Toc217290839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"_Toc217290840" </w:instrText>
      </w:r>
      <w:r>
        <w:fldChar w:fldCharType="separate"/>
      </w:r>
      <w:r>
        <w:rPr>
          <w:rStyle w:val="32"/>
          <w14:scene3d w14:prst="orthographicFront">
            <w14:lightRig w14:rig="threePt" w14:dir="t">
              <w14:rot w14:lat="0" w14:lon="0" w14:rev="0"/>
            </w14:lightRig>
          </w14:scene3d>
        </w:rPr>
        <w:t>6.5</w:t>
      </w:r>
      <w:r>
        <w:rPr>
          <w:rStyle w:val="32"/>
          <w:rFonts w:hint="eastAsia"/>
        </w:rPr>
        <w:t xml:space="preserve"> 确定安全级别</w:t>
      </w:r>
      <w:r>
        <w:tab/>
      </w:r>
      <w:r>
        <w:fldChar w:fldCharType="begin"/>
      </w:r>
      <w:r>
        <w:instrText xml:space="preserve"> PAGEREF _Toc217290840 \h </w:instrText>
      </w:r>
      <w:r>
        <w:fldChar w:fldCharType="separate"/>
      </w:r>
      <w:r>
        <w:t>5</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"_Toc217290841" </w:instrText>
      </w:r>
      <w:r>
        <w:fldChar w:fldCharType="separate"/>
      </w:r>
      <w:r>
        <w:rPr>
          <w:rStyle w:val="32"/>
        </w:rPr>
        <w:t>7</w:t>
      </w:r>
      <w:r>
        <w:rPr>
          <w:rStyle w:val="32"/>
          <w:rFonts w:hint="eastAsia"/>
        </w:rPr>
        <w:t xml:space="preserve"> 分类分级实施流程</w:t>
      </w:r>
      <w:r>
        <w:tab/>
      </w:r>
      <w:r>
        <w:fldChar w:fldCharType="begin"/>
      </w:r>
      <w:r>
        <w:instrText xml:space="preserve"> PAGEREF _Toc217290841 \h </w:instrText>
      </w:r>
      <w:r>
        <w:fldChar w:fldCharType="separate"/>
      </w:r>
      <w:r>
        <w:t>6</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"_Toc217290842" </w:instrText>
      </w:r>
      <w:r>
        <w:fldChar w:fldCharType="separate"/>
      </w:r>
      <w:r>
        <w:rPr>
          <w:rStyle w:val="32"/>
          <w:rFonts w:hint="eastAsia"/>
        </w:rPr>
        <w:t>附录A （资料性）</w:t>
      </w:r>
      <w:r>
        <w:rPr>
          <w:rStyle w:val="32"/>
        </w:rPr>
        <w:t xml:space="preserve"> </w:t>
      </w:r>
      <w:r>
        <w:rPr>
          <w:rStyle w:val="32"/>
          <w:rFonts w:hint="eastAsia"/>
        </w:rPr>
        <w:t>出版数据资源清单样例</w:t>
      </w:r>
      <w:r>
        <w:tab/>
      </w:r>
      <w:r>
        <w:fldChar w:fldCharType="begin"/>
      </w:r>
      <w:r>
        <w:instrText xml:space="preserve"> PAGEREF _Toc217290842 \h </w:instrText>
      </w:r>
      <w:r>
        <w:fldChar w:fldCharType="separate"/>
      </w:r>
      <w:r>
        <w:t>8</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"_Toc217290843" </w:instrText>
      </w:r>
      <w:r>
        <w:fldChar w:fldCharType="separate"/>
      </w:r>
      <w:r>
        <w:rPr>
          <w:rStyle w:val="32"/>
          <w:rFonts w:hint="eastAsia"/>
        </w:rPr>
        <w:t>附录B （资料性）</w:t>
      </w:r>
      <w:r>
        <w:rPr>
          <w:rStyle w:val="32"/>
        </w:rPr>
        <w:t xml:space="preserve"> </w:t>
      </w:r>
      <w:r>
        <w:rPr>
          <w:rStyle w:val="32"/>
          <w:rFonts w:hint="eastAsia"/>
        </w:rPr>
        <w:t>数据分类框架样例</w:t>
      </w:r>
      <w:r>
        <w:tab/>
      </w:r>
      <w:r>
        <w:fldChar w:fldCharType="begin"/>
      </w:r>
      <w:r>
        <w:instrText xml:space="preserve"> PAGEREF _Toc217290843 \h </w:instrText>
      </w:r>
      <w:r>
        <w:fldChar w:fldCharType="separate"/>
      </w:r>
      <w:r>
        <w:t>9</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"_Toc217290844" </w:instrText>
      </w:r>
      <w:r>
        <w:fldChar w:fldCharType="separate"/>
      </w:r>
      <w:r>
        <w:rPr>
          <w:rStyle w:val="32"/>
          <w:rFonts w:hint="eastAsia"/>
        </w:rPr>
        <w:t>参考文献</w:t>
      </w:r>
      <w:r>
        <w:tab/>
      </w:r>
      <w:r>
        <w:fldChar w:fldCharType="begin"/>
      </w:r>
      <w:r>
        <w:instrText xml:space="preserve"> PAGEREF _Toc217290844 \h </w:instrText>
      </w:r>
      <w:r>
        <w:fldChar w:fldCharType="separate"/>
      </w:r>
      <w:r>
        <w:t>11</w:t>
      </w:r>
      <w:r>
        <w:fldChar w:fldCharType="end"/>
      </w:r>
      <w:r>
        <w:fldChar w:fldCharType="end"/>
      </w:r>
    </w:p>
    <w:p>
      <w:pPr>
        <w:pStyle w:val="94"/>
        <w:spacing w:after="360"/>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2"/>
    <w:p>
      <w:pPr>
        <w:pStyle w:val="92"/>
        <w:spacing w:before="900" w:after="360"/>
      </w:pPr>
      <w:bookmarkStart w:id="23" w:name="_Toc217290823"/>
      <w:bookmarkStart w:id="24" w:name="BookMark2"/>
      <w:r>
        <w:rPr>
          <w:spacing w:val="320"/>
        </w:rPr>
        <w:t>前</w:t>
      </w:r>
      <w:r>
        <w:t>言</w:t>
      </w:r>
      <w:bookmarkEnd w:id="23"/>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本文件由全国新闻出版标准化技术委员会（SAC/TC 527）归口。</w:t>
      </w:r>
    </w:p>
    <w:p>
      <w:pPr>
        <w:pStyle w:val="59"/>
        <w:ind w:firstLine="420"/>
      </w:pPr>
      <w:r>
        <w:rPr>
          <w:rFonts w:hint="eastAsia"/>
        </w:rPr>
        <w:t>本文件起草单位：</w:t>
      </w:r>
    </w:p>
    <w:p>
      <w:pPr>
        <w:pStyle w:val="59"/>
        <w:ind w:firstLine="420"/>
      </w:pPr>
      <w:r>
        <w:rPr>
          <w:rFonts w:hint="eastAsia"/>
        </w:rPr>
        <w:t>本文件主要起草人：</w:t>
      </w:r>
    </w:p>
    <w:p>
      <w:pPr>
        <w:pStyle w:val="59"/>
        <w:ind w:firstLine="420"/>
      </w:pPr>
    </w:p>
    <w:p>
      <w:pPr>
        <w:pStyle w:val="92"/>
        <w:pageBreakBefore/>
        <w:spacing w:after="360"/>
      </w:pPr>
      <w:bookmarkStart w:id="25" w:name="_Toc217290824"/>
      <w:bookmarkStart w:id="26" w:name="_Toc131158516"/>
      <w:r>
        <w:rPr>
          <w:spacing w:val="320"/>
        </w:rPr>
        <w:t>引</w:t>
      </w:r>
      <w:r>
        <w:t>言</w:t>
      </w:r>
      <w:bookmarkEnd w:id="25"/>
      <w:bookmarkEnd w:id="26"/>
    </w:p>
    <w:p>
      <w:pPr>
        <w:pStyle w:val="59"/>
        <w:ind w:firstLine="420"/>
      </w:pPr>
      <w:r>
        <w:t>2021年9月1日，《中华人民共和国数据安全法》正式施行，明确规定“国家建立数据分类分级保护制度”，提出“根据数据在经济社会发展中的重要程度，以及一旦遭到篡改、破坏、泄露或者非法获取、非法利用，对国家安全、公共利益或者个人、组织合法权益造成的危害程度，对数据实行分类分级保护”。</w:t>
      </w:r>
    </w:p>
    <w:p>
      <w:pPr>
        <w:pStyle w:val="59"/>
        <w:ind w:firstLine="420"/>
      </w:pPr>
      <w:r>
        <w:t>2024年10月1日，GB/T 43697</w:t>
      </w:r>
      <w:r>
        <w:rPr>
          <w:rFonts w:hint="eastAsia"/>
        </w:rPr>
        <w:t>—</w:t>
      </w:r>
      <w:r>
        <w:t>2024《数据安全技术 数据分类分级规则》正式实施，给出了数据分类分级的通用规则,用于指导各行业领域、各地区、各部门和数据处理者开展数据分类分级工作。</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随着出版行业数字化转型的不断深入，以及知识服务、人工智能技术的快速发展，出版数据呈现数量庞大、形态多元、内容广泛、学术信息密度大的特点。在此背景下，数据安全的重要性日益凸显，开展数据分类分级是构建出版数据安全体系的基石性工作。通过开展数据分类分级，可以识别出重要数据和核心数据，并针对不同级别的数据制定相应安全保护措施，促进出版数据的安全使用。</w:t>
      </w:r>
    </w:p>
    <w:p>
      <w:pPr>
        <w:pStyle w:val="59"/>
        <w:ind w:firstLine="420"/>
      </w:pPr>
      <w:r>
        <w:t>本文件根据相关法规、办法的要求，为出版数据分类分级工作提供指导性原则，结合行业特点提出数据分类分级方法及实施流程，供新闻出版业相关机构参考。</w:t>
      </w:r>
    </w:p>
    <w:p>
      <w:pPr>
        <w:pStyle w:val="59"/>
        <w:ind w:firstLine="420"/>
      </w:pPr>
    </w:p>
    <w:p>
      <w:pPr>
        <w:pStyle w:val="59"/>
        <w:ind w:firstLine="0" w:firstLineChars="0"/>
        <w:sectPr>
          <w:footerReference r:id="rId10" w:type="default"/>
          <w:pgSz w:w="11906" w:h="16838"/>
          <w:pgMar w:top="1928" w:right="1134" w:bottom="1134" w:left="1134" w:header="1418" w:footer="1134" w:gutter="284"/>
          <w:pgNumType w:fmt="upperRoman"/>
          <w:cols w:space="425" w:num="1"/>
          <w:formProt w:val="0"/>
          <w:docGrid w:linePitch="312" w:charSpace="0"/>
        </w:sectPr>
      </w:pPr>
    </w:p>
    <w:p>
      <w:pPr>
        <w:pStyle w:val="59"/>
        <w:ind w:firstLine="0" w:firstLineChars="0"/>
      </w:pPr>
    </w:p>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72637087"/>
        <w:lock w:val="sdtLocked"/>
        <w:placeholder>
          <w:docPart w:val="{0801285a-1e71-4e58-ab86-1e858d0229eb}"/>
        </w:placeholder>
      </w:sdtPr>
      <w:sdtContent>
        <w:p>
          <w:pPr>
            <w:pStyle w:val="180"/>
            <w:pageBreakBefore/>
            <w:spacing w:before="240" w:beforeLines="100" w:after="2" w:afterLines="1"/>
          </w:pPr>
          <w:r>
            <w:rPr>
              <w:rFonts w:hint="eastAsia"/>
            </w:rPr>
            <w:t>出版数据要素</w:t>
          </w:r>
          <w:r>
            <w:t xml:space="preserve"> 数据安全 </w:t>
          </w:r>
        </w:p>
        <w:p>
          <w:pPr>
            <w:pStyle w:val="180"/>
            <w:spacing w:before="2" w:beforeLines="1" w:after="680"/>
          </w:pPr>
          <w:r>
            <w:rPr>
              <w:rFonts w:hint="eastAsia"/>
            </w:rPr>
            <w:t>数据分类分级指南</w:t>
          </w:r>
        </w:p>
      </w:sdtContent>
    </w:sdt>
    <w:p>
      <w:pPr>
        <w:pStyle w:val="107"/>
        <w:spacing w:before="240" w:after="240"/>
      </w:pPr>
      <w:bookmarkStart w:id="27" w:name="_Toc397120288"/>
      <w:bookmarkStart w:id="28" w:name="_Toc217290825"/>
      <w:r>
        <w:rPr>
          <w:rFonts w:hint="eastAsia"/>
        </w:rPr>
        <w:t>范围</w:t>
      </w:r>
      <w:bookmarkEnd w:id="27"/>
      <w:bookmarkEnd w:id="28"/>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本文件提供了出版数据分类分级的原则、分类分级方法与框架、分类分级实施流程等方面的指导</w:t>
      </w:r>
      <w:r>
        <w:rPr>
          <w:rFonts w:ascii="宋体" w:hAnsi="Times New Roman"/>
          <w:szCs w:val="24"/>
        </w:rPr>
        <w:t>。</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本文件适用于新闻出版行业各类机构在防控数据安全风险时，开展数据分类分级工作使用。其他机构可作为参考。</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本标准不适用于涉及国家秘密的出版数据。</w:t>
      </w:r>
    </w:p>
    <w:p>
      <w:pPr>
        <w:pStyle w:val="107"/>
        <w:spacing w:before="240" w:after="240"/>
      </w:pPr>
      <w:bookmarkStart w:id="29" w:name="_Toc217290826"/>
      <w:bookmarkStart w:id="30" w:name="_Toc1843127550"/>
      <w:r>
        <w:rPr>
          <w:rFonts w:hint="eastAsia"/>
        </w:rPr>
        <w:t>规范性引用文件</w:t>
      </w:r>
      <w:bookmarkEnd w:id="29"/>
      <w:bookmarkEnd w:id="30"/>
    </w:p>
    <w:sdt>
      <w:sdtPr>
        <w:rPr>
          <w:rFonts w:hint="eastAsia"/>
        </w:rPr>
        <w:id w:val="455094046"/>
        <w:placeholder>
          <w:docPart w:val="{85aeacb1-7ba0-433b-be1c-bb4a9cf15a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rPr>
      </w:sdtEndPr>
      <w:sdtContent>
        <w:p>
          <w:pPr>
            <w:autoSpaceDE w:val="0"/>
            <w:autoSpaceDN w:val="0"/>
            <w:adjustRightInd/>
            <w:spacing w:line="240" w:lineRule="auto"/>
            <w:ind w:firstLine="420" w:firstLineChars="200"/>
            <w:rPr>
              <w:rFonts w:ascii="宋体" w:hAnsi="Times New Roman"/>
              <w:szCs w:val="24"/>
            </w:rPr>
          </w:pPr>
          <w:r>
            <w:rPr>
              <w:rFonts w:hint="eastAsia"/>
            </w:rPr>
            <w:t>本文件没有规范性引用文件。</w:t>
          </w:r>
        </w:p>
      </w:sdtContent>
    </w:sdt>
    <w:p>
      <w:pPr>
        <w:pStyle w:val="107"/>
        <w:spacing w:before="240" w:after="240"/>
      </w:pPr>
      <w:bookmarkStart w:id="31" w:name="_Toc217290827"/>
      <w:bookmarkStart w:id="32" w:name="_Toc1374056554"/>
      <w:r>
        <w:rPr>
          <w:rFonts w:hint="eastAsia"/>
        </w:rPr>
        <w:t>术语和定义</w:t>
      </w:r>
      <w:bookmarkEnd w:id="31"/>
      <w:bookmarkEnd w:id="32"/>
    </w:p>
    <w:sdt>
      <w:sdtPr>
        <w:id w:val="686980847"/>
        <w:placeholder>
          <w:docPart w:val="{16586322-c3ac-42d1-b600-5ed3001a57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Times New Roman"/>
          <w:highlight w:val="green"/>
        </w:rPr>
      </w:sdtEndPr>
      <w:sdtContent>
        <w:p>
          <w:pPr>
            <w:autoSpaceDE w:val="0"/>
            <w:autoSpaceDN w:val="0"/>
            <w:adjustRightInd/>
            <w:spacing w:line="240" w:lineRule="auto"/>
            <w:ind w:firstLine="420" w:firstLineChars="200"/>
            <w:rPr>
              <w:rFonts w:ascii="宋体" w:hAnsi="Times New Roman"/>
              <w:szCs w:val="24"/>
            </w:rPr>
          </w:pPr>
          <w:r>
            <w:rPr>
              <w:rFonts w:ascii="宋体" w:hAnsi="Times New Roman"/>
              <w:szCs w:val="24"/>
            </w:rPr>
            <w:t>下列术语和定义适用于本文件。</w:t>
          </w:r>
        </w:p>
      </w:sdtContent>
    </w:sdt>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数据 data</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任何以电子或者其他方式对信息的记录。</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 xml:space="preserve">出版数据 </w:t>
      </w:r>
      <w:bookmarkStart w:id="33" w:name="OLE_LINK10"/>
      <w:r>
        <w:rPr>
          <w:rFonts w:hint="eastAsia" w:ascii="黑体" w:hAnsi="黑体" w:eastAsia="黑体"/>
          <w:szCs w:val="24"/>
        </w:rPr>
        <w:t>publishing data</w:t>
      </w:r>
      <w:bookmarkEnd w:id="33"/>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出版过程中产生的全部数据，以及与出版活动相关的数据。</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重要数据 key data</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特定领域、特定群体、特定区域或达到一定精度和规模的，一旦被泄露或篡改、损毁，可能直接危害国家安全、经济运行、社会稳定、公共健康和安全的数据。</w:t>
      </w:r>
    </w:p>
    <w:p>
      <w:pPr>
        <w:numPr>
          <w:ilvl w:val="0"/>
          <w:numId w:val="26"/>
        </w:numPr>
        <w:autoSpaceDE w:val="0"/>
        <w:autoSpaceDN w:val="0"/>
        <w:adjustRightInd/>
        <w:spacing w:line="240" w:lineRule="auto"/>
        <w:rPr>
          <w:rFonts w:ascii="宋体" w:hAnsi="Times New Roman"/>
          <w:sz w:val="18"/>
          <w:szCs w:val="18"/>
        </w:rPr>
      </w:pPr>
      <w:bookmarkStart w:id="34" w:name="OLE_LINK5"/>
      <w:r>
        <w:rPr>
          <w:rFonts w:hint="eastAsia" w:ascii="宋体" w:hAnsi="Times New Roman"/>
          <w:sz w:val="18"/>
          <w:szCs w:val="18"/>
        </w:rPr>
        <w:t>仅影响组织自身或公民个体的数据一般不作为重要数据。</w:t>
      </w:r>
    </w:p>
    <w:bookmarkEnd w:id="34"/>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核心数据 core data</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对领域、群体、区域具有较高覆盖度或达到较高精度、较大规模、一定深度的，一旦被非法使用或共享，可能直接影响政治安全的重要数据。</w:t>
      </w:r>
    </w:p>
    <w:p>
      <w:pPr>
        <w:numPr>
          <w:ilvl w:val="0"/>
          <w:numId w:val="26"/>
        </w:numPr>
        <w:autoSpaceDE w:val="0"/>
        <w:autoSpaceDN w:val="0"/>
        <w:adjustRightInd/>
        <w:spacing w:line="240" w:lineRule="auto"/>
        <w:rPr>
          <w:rFonts w:ascii="宋体" w:hAnsi="Times New Roman"/>
          <w:sz w:val="18"/>
          <w:szCs w:val="18"/>
        </w:rPr>
      </w:pPr>
      <w:r>
        <w:rPr>
          <w:rFonts w:hint="eastAsia" w:ascii="宋体" w:hAnsi="Times New Roman"/>
          <w:sz w:val="18"/>
          <w:szCs w:val="18"/>
        </w:rPr>
        <w:t>核心数据主要包括关系国家安全重点领域的数据，关系国民经济命脉、重要民生、重大公共利益的数据，经国家有关部门评估确定的其他数据。</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一般数据 general data</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核心数据、重要数据之外的其他数据。</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个人信息 personal information</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以电子或者其他方式记录的与已识别或者可识别的自然人有关的各种信息。</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敏感个人信息 sensitive personal information</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一旦泄露或者非法使用，容易导致自然人的人格尊严受到侵害或者人身、财产安全受到危害的个人信息。</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数据分类 data classification</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根据出版数据的属性或特征，按照一定的原则和方法进行划分和归类，建立起一定的层次体系和排列顺序的过程。</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数据分级 data grading</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在出版数据分类的基础上，</w:t>
      </w:r>
      <w:bookmarkStart w:id="35" w:name="OLE_LINK6"/>
      <w:r>
        <w:rPr>
          <w:rFonts w:hint="eastAsia" w:ascii="宋体" w:hAnsi="Times New Roman"/>
          <w:szCs w:val="24"/>
        </w:rPr>
        <w:t>按出版数据的影响对象及其影响程度，</w:t>
      </w:r>
      <w:bookmarkEnd w:id="35"/>
      <w:r>
        <w:rPr>
          <w:rFonts w:hint="eastAsia" w:ascii="宋体" w:hAnsi="Times New Roman"/>
          <w:szCs w:val="24"/>
        </w:rPr>
        <w:t>确定出版数据级别的过程。</w:t>
      </w:r>
    </w:p>
    <w:p>
      <w:pPr>
        <w:numPr>
          <w:ilvl w:val="2"/>
          <w:numId w:val="2"/>
        </w:numPr>
        <w:adjustRightInd/>
        <w:spacing w:line="240" w:lineRule="auto"/>
        <w:ind w:left="420" w:hanging="420" w:hangingChars="200"/>
        <w:rPr>
          <w:rFonts w:ascii="黑体" w:hAnsi="黑体" w:eastAsia="黑体"/>
          <w:szCs w:val="24"/>
        </w:rPr>
      </w:pPr>
      <w:r>
        <w:rPr>
          <w:rFonts w:ascii="黑体" w:hAnsi="黑体" w:eastAsia="黑体"/>
          <w:szCs w:val="24"/>
        </w:rPr>
        <w:br w:type="textWrapping"/>
      </w:r>
      <w:r>
        <w:rPr>
          <w:rFonts w:hint="eastAsia" w:ascii="黑体" w:hAnsi="黑体" w:eastAsia="黑体"/>
          <w:szCs w:val="24"/>
        </w:rPr>
        <w:t>衍生数据  derived  data</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对出版数据进行统计计算、关联、挖掘、聚合、去标识化等而产生的数据。</w:t>
      </w:r>
    </w:p>
    <w:p>
      <w:pPr>
        <w:pStyle w:val="107"/>
        <w:spacing w:before="240" w:after="240"/>
      </w:pPr>
      <w:bookmarkStart w:id="36" w:name="_Toc1420201224"/>
      <w:bookmarkStart w:id="37" w:name="_Toc217290828"/>
      <w:r>
        <w:rPr>
          <w:rFonts w:hint="eastAsia"/>
        </w:rPr>
        <w:t>分类分级基本</w:t>
      </w:r>
      <w:r>
        <w:t>原则</w:t>
      </w:r>
      <w:bookmarkEnd w:id="36"/>
      <w:bookmarkEnd w:id="37"/>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遵循国家数据分类分级保护要求，依据以下基本原则对出版数据进行分类分级。</w:t>
      </w:r>
    </w:p>
    <w:p>
      <w:pPr>
        <w:numPr>
          <w:ilvl w:val="0"/>
          <w:numId w:val="13"/>
        </w:numPr>
        <w:adjustRightInd/>
        <w:spacing w:line="240" w:lineRule="auto"/>
        <w:rPr>
          <w:rFonts w:ascii="宋体" w:hAnsi="Times New Roman"/>
          <w:szCs w:val="24"/>
        </w:rPr>
      </w:pPr>
      <w:r>
        <w:rPr>
          <w:rFonts w:hint="eastAsia" w:ascii="宋体" w:hAnsi="Times New Roman"/>
          <w:szCs w:val="24"/>
        </w:rPr>
        <w:t>稳定性原则：选择常见、稳定的属性或者特征作为出版数据分类的基础和依据。</w:t>
      </w:r>
    </w:p>
    <w:p>
      <w:pPr>
        <w:numPr>
          <w:ilvl w:val="0"/>
          <w:numId w:val="13"/>
        </w:numPr>
        <w:adjustRightInd/>
        <w:spacing w:line="240" w:lineRule="auto"/>
        <w:rPr>
          <w:rFonts w:ascii="宋体" w:hAnsi="Times New Roman"/>
          <w:szCs w:val="24"/>
        </w:rPr>
      </w:pPr>
      <w:r>
        <w:rPr>
          <w:rFonts w:hint="eastAsia" w:ascii="宋体" w:hAnsi="Times New Roman"/>
          <w:szCs w:val="24"/>
        </w:rPr>
        <w:t>实用性原则：不设没有意义的分类类目，每个类目下有数据，数据类目划分符合用户的普遍认识。</w:t>
      </w:r>
    </w:p>
    <w:p>
      <w:pPr>
        <w:numPr>
          <w:ilvl w:val="0"/>
          <w:numId w:val="13"/>
        </w:numPr>
        <w:adjustRightInd/>
        <w:spacing w:line="240" w:lineRule="auto"/>
        <w:rPr>
          <w:rFonts w:ascii="宋体" w:hAnsi="Times New Roman"/>
          <w:szCs w:val="24"/>
        </w:rPr>
      </w:pPr>
      <w:r>
        <w:rPr>
          <w:rFonts w:hint="eastAsia" w:ascii="宋体" w:hAnsi="Times New Roman"/>
          <w:szCs w:val="24"/>
        </w:rPr>
        <w:t>明确性原则：出版数据分级的各级别边界清晰，方便对不同级别的出版数据采取相应的保护措施。</w:t>
      </w:r>
    </w:p>
    <w:p>
      <w:pPr>
        <w:numPr>
          <w:ilvl w:val="0"/>
          <w:numId w:val="13"/>
        </w:numPr>
        <w:adjustRightInd/>
        <w:spacing w:line="240" w:lineRule="auto"/>
        <w:rPr>
          <w:rFonts w:ascii="宋体" w:hAnsi="Times New Roman"/>
          <w:szCs w:val="24"/>
        </w:rPr>
      </w:pPr>
      <w:r>
        <w:rPr>
          <w:rFonts w:hint="eastAsia" w:ascii="宋体" w:hAnsi="Times New Roman"/>
          <w:szCs w:val="24"/>
        </w:rPr>
        <w:t>就高从严原则：采用就高不就低的原则确定出版数据级别，当多个因素可能影响出版数据分级时，按照可能造成的各个影响对象的最高影响程度确定出版数据级别。</w:t>
      </w:r>
    </w:p>
    <w:p>
      <w:pPr>
        <w:numPr>
          <w:ilvl w:val="0"/>
          <w:numId w:val="13"/>
        </w:numPr>
        <w:adjustRightInd/>
        <w:spacing w:line="240" w:lineRule="auto"/>
        <w:rPr>
          <w:rFonts w:ascii="宋体" w:hAnsi="Times New Roman"/>
          <w:szCs w:val="24"/>
        </w:rPr>
      </w:pPr>
      <w:r>
        <w:rPr>
          <w:rFonts w:hint="eastAsia" w:ascii="宋体" w:hAnsi="Times New Roman"/>
          <w:szCs w:val="24"/>
        </w:rPr>
        <w:t>点面结合原则：出版数据分级既要考虑单项数据分级，也要充分考虑多个或特定领域、群体或区域的出版数据汇聚融合后的安全影响，综合确定出版数据级别。</w:t>
      </w:r>
    </w:p>
    <w:p>
      <w:pPr>
        <w:numPr>
          <w:ilvl w:val="0"/>
          <w:numId w:val="13"/>
        </w:numPr>
        <w:adjustRightInd/>
        <w:spacing w:line="240" w:lineRule="auto"/>
        <w:rPr>
          <w:rFonts w:ascii="宋体" w:hAnsi="Times New Roman"/>
          <w:szCs w:val="24"/>
        </w:rPr>
      </w:pPr>
      <w:r>
        <w:rPr>
          <w:rFonts w:hint="eastAsia" w:ascii="宋体" w:hAnsi="Times New Roman"/>
          <w:szCs w:val="24"/>
        </w:rPr>
        <w:t>动态更新原则：根据出版数据的业务属性、重要性和可能造成的危害程度的变化，对出版数据分类分级进行定期审核更新。</w:t>
      </w:r>
    </w:p>
    <w:p>
      <w:pPr>
        <w:pStyle w:val="107"/>
        <w:spacing w:before="240" w:after="240"/>
      </w:pPr>
      <w:bookmarkStart w:id="38" w:name="_Toc947721241"/>
      <w:bookmarkStart w:id="39" w:name="_Toc217290829"/>
      <w:r>
        <w:rPr>
          <w:rFonts w:hint="eastAsia"/>
        </w:rPr>
        <w:t>数据分类</w:t>
      </w:r>
      <w:bookmarkEnd w:id="38"/>
      <w:bookmarkEnd w:id="39"/>
    </w:p>
    <w:p>
      <w:pPr>
        <w:pStyle w:val="108"/>
        <w:spacing w:before="120" w:after="120"/>
      </w:pPr>
      <w:bookmarkStart w:id="40" w:name="_Toc255759647"/>
      <w:bookmarkStart w:id="41" w:name="_Toc217290830"/>
      <w:r>
        <w:rPr>
          <w:rFonts w:hint="eastAsia"/>
        </w:rPr>
        <w:t>数据分类</w:t>
      </w:r>
      <w:r>
        <w:t>方法</w:t>
      </w:r>
      <w:bookmarkEnd w:id="40"/>
      <w:bookmarkEnd w:id="41"/>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数据分类的基本方法主要有线分类法、面分类法和混合分类法。进行数据分类时，可以根据需求灵活运用三种分类方法。</w:t>
      </w:r>
    </w:p>
    <w:p>
      <w:pPr>
        <w:numPr>
          <w:ilvl w:val="0"/>
          <w:numId w:val="32"/>
        </w:numPr>
        <w:tabs>
          <w:tab w:val="left" w:pos="851"/>
        </w:tabs>
        <w:adjustRightInd/>
        <w:spacing w:line="240" w:lineRule="auto"/>
        <w:rPr>
          <w:rFonts w:ascii="宋体" w:hAnsi="Times New Roman"/>
          <w:szCs w:val="24"/>
        </w:rPr>
      </w:pPr>
      <w:r>
        <w:rPr>
          <w:rFonts w:hint="eastAsia" w:ascii="宋体" w:hAnsi="Times New Roman"/>
          <w:szCs w:val="24"/>
        </w:rPr>
        <w:t>线分类法：又叫层级分类法、体系分类法，是将出版数据按所选定的若干属性或特征逐次地分成若干个层级，每个层级分为若干类目，并排成一个有层次的、逐渐展开的分类体系。同一分支的同层级类别构成并列关系，不同层级类别之间构成隶属关系。</w:t>
      </w:r>
    </w:p>
    <w:p>
      <w:pPr>
        <w:pStyle w:val="184"/>
        <w:ind w:left="882" w:leftChars="150" w:hanging="567"/>
      </w:pPr>
      <w:r>
        <w:rPr>
          <w:rFonts w:hint="eastAsia"/>
        </w:rPr>
        <w:t>对期刊数据采用单一特征属性进行层层划分，形成“大类-中类-小类”的等级体系。</w:t>
      </w:r>
    </w:p>
    <w:p>
      <w:pPr>
        <w:pStyle w:val="185"/>
        <w:ind w:firstLine="900" w:firstLineChars="500"/>
      </w:pPr>
      <w:r>
        <w:rPr>
          <w:rFonts w:hint="eastAsia"/>
        </w:rPr>
        <w:t>如：一级类目：自然科学</w:t>
      </w:r>
    </w:p>
    <w:p>
      <w:pPr>
        <w:pStyle w:val="185"/>
        <w:ind w:firstLine="1440" w:firstLineChars="800"/>
      </w:pPr>
      <w:r>
        <w:rPr>
          <w:rFonts w:hint="eastAsia"/>
        </w:rPr>
        <w:t>二级类目：物理学</w:t>
      </w:r>
    </w:p>
    <w:p>
      <w:pPr>
        <w:pStyle w:val="185"/>
        <w:ind w:firstLine="1620" w:firstLineChars="900"/>
      </w:pPr>
      <w:r>
        <w:rPr>
          <w:rFonts w:hint="eastAsia"/>
        </w:rPr>
        <w:t>三级类目：凝聚态物理</w:t>
      </w:r>
    </w:p>
    <w:p>
      <w:pPr>
        <w:numPr>
          <w:ilvl w:val="0"/>
          <w:numId w:val="13"/>
        </w:numPr>
        <w:adjustRightInd/>
        <w:spacing w:line="240" w:lineRule="auto"/>
        <w:rPr>
          <w:rFonts w:ascii="宋体" w:hAnsi="Times New Roman"/>
          <w:szCs w:val="24"/>
        </w:rPr>
      </w:pPr>
      <w:r>
        <w:rPr>
          <w:rFonts w:hint="eastAsia" w:ascii="宋体" w:hAnsi="Times New Roman"/>
          <w:szCs w:val="24"/>
        </w:rPr>
        <w:t>面分类法：又称组配分类法，是将出版数据的若干属性或特征视为若干个“面”，每个“面”中又可分成彼此独立的若干个类目。分类时，可根据需要将这些“面”中的类目组合在一起，形成复合类目。</w:t>
      </w:r>
    </w:p>
    <w:p>
      <w:pPr>
        <w:pStyle w:val="184"/>
        <w:ind w:left="882" w:leftChars="150" w:hanging="567"/>
      </w:pPr>
      <w:r>
        <w:rPr>
          <w:rFonts w:hint="eastAsia"/>
        </w:rPr>
        <w:t>对期刊数据采用多个独立、平等的特征属性维度进行组合描述。</w:t>
      </w:r>
    </w:p>
    <w:p>
      <w:pPr>
        <w:pStyle w:val="185"/>
        <w:ind w:firstLine="360"/>
      </w:pPr>
      <w:r>
        <w:rPr>
          <w:rFonts w:hint="eastAsia"/>
        </w:rPr>
        <w:t xml:space="preserve">     如：学科面：临床医学</w:t>
      </w:r>
    </w:p>
    <w:p>
      <w:pPr>
        <w:pStyle w:val="185"/>
        <w:ind w:firstLine="360"/>
      </w:pPr>
      <w:r>
        <w:rPr>
          <w:rFonts w:hint="eastAsia"/>
        </w:rPr>
        <w:t xml:space="preserve">         出版机构面：商业出版社</w:t>
      </w:r>
    </w:p>
    <w:p>
      <w:pPr>
        <w:pStyle w:val="185"/>
        <w:ind w:firstLine="360"/>
      </w:pPr>
      <w:r>
        <w:rPr>
          <w:rFonts w:hint="eastAsia"/>
        </w:rPr>
        <w:t xml:space="preserve">         语种面：英文</w:t>
      </w:r>
    </w:p>
    <w:p>
      <w:pPr>
        <w:numPr>
          <w:ilvl w:val="0"/>
          <w:numId w:val="13"/>
        </w:numPr>
        <w:adjustRightInd/>
        <w:spacing w:line="240" w:lineRule="auto"/>
        <w:rPr>
          <w:rFonts w:ascii="宋体" w:hAnsi="Times New Roman"/>
          <w:szCs w:val="24"/>
        </w:rPr>
      </w:pPr>
      <w:r>
        <w:rPr>
          <w:rFonts w:hint="eastAsia" w:ascii="宋体" w:hAnsi="Times New Roman"/>
          <w:szCs w:val="24"/>
        </w:rPr>
        <w:t>混合分类法：将线分类法和面分类法组合使用。</w:t>
      </w:r>
    </w:p>
    <w:p>
      <w:pPr>
        <w:pStyle w:val="108"/>
        <w:spacing w:before="120" w:after="120"/>
      </w:pPr>
      <w:bookmarkStart w:id="42" w:name="_Toc1425224337"/>
      <w:bookmarkStart w:id="43" w:name="_Toc217290831"/>
      <w:r>
        <w:rPr>
          <w:rFonts w:hint="eastAsia"/>
        </w:rPr>
        <w:t>数据分类</w:t>
      </w:r>
      <w:bookmarkEnd w:id="42"/>
      <w:r>
        <w:rPr>
          <w:rFonts w:hint="eastAsia"/>
        </w:rPr>
        <w:t>框架</w:t>
      </w:r>
      <w:bookmarkEnd w:id="43"/>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出版数据的分类维度涵盖但不限于以下几个方面。</w:t>
      </w:r>
    </w:p>
    <w:p>
      <w:pPr>
        <w:numPr>
          <w:ilvl w:val="0"/>
          <w:numId w:val="33"/>
        </w:numPr>
        <w:tabs>
          <w:tab w:val="left" w:pos="851"/>
        </w:tabs>
        <w:adjustRightInd/>
        <w:spacing w:line="240" w:lineRule="auto"/>
        <w:rPr>
          <w:rFonts w:ascii="宋体" w:hAnsi="Times New Roman"/>
          <w:szCs w:val="24"/>
        </w:rPr>
      </w:pPr>
      <w:r>
        <w:rPr>
          <w:rFonts w:hint="eastAsia" w:ascii="宋体" w:hAnsi="Times New Roman"/>
          <w:szCs w:val="24"/>
        </w:rPr>
        <w:t>描述</w:t>
      </w:r>
      <w:r>
        <w:rPr>
          <w:rFonts w:ascii="宋体" w:hAnsi="Times New Roman"/>
          <w:szCs w:val="24"/>
        </w:rPr>
        <w:t>对象</w:t>
      </w:r>
      <w:r>
        <w:rPr>
          <w:rFonts w:hint="eastAsia" w:ascii="宋体" w:hAnsi="Times New Roman"/>
          <w:szCs w:val="24"/>
        </w:rPr>
        <w:t>：按照数据</w:t>
      </w:r>
      <w:r>
        <w:rPr>
          <w:rFonts w:ascii="宋体" w:hAnsi="Times New Roman"/>
          <w:szCs w:val="24"/>
        </w:rPr>
        <w:t>描述的对象将出版数据</w:t>
      </w:r>
      <w:r>
        <w:rPr>
          <w:rFonts w:hint="eastAsia" w:ascii="宋体" w:hAnsi="Times New Roman"/>
          <w:szCs w:val="24"/>
        </w:rPr>
        <w:t>分为内容数据、用户数据、经营管理数据及衍生数据。</w:t>
      </w:r>
    </w:p>
    <w:p>
      <w:pPr>
        <w:numPr>
          <w:ilvl w:val="1"/>
          <w:numId w:val="13"/>
        </w:numPr>
        <w:adjustRightInd/>
        <w:spacing w:line="240" w:lineRule="auto"/>
        <w:rPr>
          <w:rFonts w:ascii="宋体" w:hAnsi="Times New Roman"/>
          <w:szCs w:val="24"/>
        </w:rPr>
      </w:pPr>
      <w:r>
        <w:rPr>
          <w:rFonts w:hint="eastAsia" w:ascii="宋体" w:hAnsi="Times New Roman"/>
          <w:szCs w:val="24"/>
        </w:rPr>
        <w:t>内容数据：在出版活动全流程中产出的核心内容数据，如图书的文字、图表，期刊的文章，音视频出版物的声画等数字化形式；也涵盖出版内容数据关联的附加内容，如补充文字材料、数据表格、公式推导过程、调查问卷、采访记录、评审意见、试验样本信息、试验附图、高清原图、程序等。</w:t>
      </w:r>
    </w:p>
    <w:p>
      <w:pPr>
        <w:numPr>
          <w:ilvl w:val="1"/>
          <w:numId w:val="13"/>
        </w:numPr>
        <w:adjustRightInd/>
        <w:spacing w:line="240" w:lineRule="auto"/>
        <w:rPr>
          <w:rFonts w:ascii="宋体" w:hAnsi="Times New Roman"/>
          <w:szCs w:val="24"/>
        </w:rPr>
      </w:pPr>
      <w:r>
        <w:rPr>
          <w:rFonts w:hint="eastAsia" w:ascii="宋体" w:hAnsi="Times New Roman"/>
          <w:szCs w:val="24"/>
        </w:rPr>
        <w:t>用户数据：用户的基本信息与行为数据，如个人用户的性别、职业、喜好、年龄、阅读偏好、阅读时间、点赞数据、评论数据、收藏数据、转发数据等。</w:t>
      </w:r>
    </w:p>
    <w:p>
      <w:pPr>
        <w:numPr>
          <w:ilvl w:val="1"/>
          <w:numId w:val="13"/>
        </w:numPr>
        <w:adjustRightInd/>
        <w:spacing w:line="240" w:lineRule="auto"/>
        <w:rPr>
          <w:rFonts w:ascii="宋体" w:hAnsi="Times New Roman"/>
          <w:szCs w:val="24"/>
        </w:rPr>
      </w:pPr>
      <w:r>
        <w:rPr>
          <w:rFonts w:hint="eastAsia" w:ascii="宋体" w:hAnsi="Times New Roman"/>
          <w:szCs w:val="24"/>
        </w:rPr>
        <w:t>经营管理数据：在出版企业（或出版机构）经营管理过程中所产生和收集的管理和服务类数据，涉及经营战略、管理制度、人力资源、财务数据等。</w:t>
      </w:r>
    </w:p>
    <w:p>
      <w:pPr>
        <w:numPr>
          <w:ilvl w:val="1"/>
          <w:numId w:val="13"/>
        </w:numPr>
        <w:adjustRightInd/>
        <w:spacing w:line="240" w:lineRule="auto"/>
        <w:rPr>
          <w:rFonts w:ascii="宋体" w:hAnsi="Times New Roman"/>
          <w:szCs w:val="24"/>
        </w:rPr>
      </w:pPr>
      <w:r>
        <w:rPr>
          <w:rFonts w:hint="eastAsia" w:ascii="宋体" w:hAnsi="Times New Roman"/>
          <w:szCs w:val="24"/>
        </w:rPr>
        <w:t>衍生数据：对出版数据进行统计、关联、挖掘、聚合、去标识化等而产生的数据。</w:t>
      </w:r>
    </w:p>
    <w:p>
      <w:pPr>
        <w:numPr>
          <w:ilvl w:val="0"/>
          <w:numId w:val="13"/>
        </w:numPr>
        <w:adjustRightInd/>
        <w:spacing w:line="240" w:lineRule="auto"/>
        <w:rPr>
          <w:rFonts w:ascii="宋体" w:hAnsi="Times New Roman"/>
          <w:szCs w:val="24"/>
        </w:rPr>
      </w:pPr>
      <w:r>
        <w:rPr>
          <w:rFonts w:hint="eastAsia" w:ascii="宋体" w:hAnsi="Times New Roman"/>
          <w:szCs w:val="24"/>
        </w:rPr>
        <w:t>出版产品形态：按照出版产品形态进行细化分类。</w:t>
      </w:r>
    </w:p>
    <w:p>
      <w:pPr>
        <w:numPr>
          <w:ilvl w:val="0"/>
          <w:numId w:val="13"/>
        </w:numPr>
        <w:adjustRightInd/>
        <w:spacing w:line="240" w:lineRule="auto"/>
        <w:rPr>
          <w:rFonts w:ascii="宋体" w:hAnsi="Times New Roman"/>
          <w:szCs w:val="24"/>
        </w:rPr>
      </w:pPr>
      <w:r>
        <w:rPr>
          <w:rFonts w:hint="eastAsia" w:ascii="宋体" w:hAnsi="Times New Roman"/>
          <w:szCs w:val="24"/>
        </w:rPr>
        <w:t>数据内容：根据数据内容按照行业领域、学科领域、内容主题等进行细化分类。</w:t>
      </w:r>
    </w:p>
    <w:p>
      <w:pPr>
        <w:numPr>
          <w:ilvl w:val="0"/>
          <w:numId w:val="13"/>
        </w:numPr>
        <w:adjustRightInd/>
        <w:spacing w:line="240" w:lineRule="auto"/>
        <w:rPr>
          <w:rFonts w:ascii="宋体" w:hAnsi="Times New Roman"/>
          <w:szCs w:val="24"/>
        </w:rPr>
      </w:pPr>
      <w:r>
        <w:rPr>
          <w:rFonts w:hint="eastAsia" w:ascii="宋体" w:hAnsi="Times New Roman"/>
          <w:szCs w:val="24"/>
        </w:rPr>
        <w:t>用户对象：按照出版内容适用的用户对象进行细化分类。</w:t>
      </w:r>
    </w:p>
    <w:p>
      <w:pPr>
        <w:numPr>
          <w:ilvl w:val="0"/>
          <w:numId w:val="13"/>
        </w:numPr>
        <w:adjustRightInd/>
        <w:spacing w:line="240" w:lineRule="auto"/>
        <w:rPr>
          <w:rFonts w:ascii="宋体" w:hAnsi="Times New Roman"/>
          <w:szCs w:val="24"/>
        </w:rPr>
      </w:pPr>
      <w:r>
        <w:rPr>
          <w:rFonts w:hint="eastAsia" w:ascii="宋体" w:hAnsi="Times New Roman"/>
          <w:szCs w:val="24"/>
        </w:rPr>
        <w:t>数据用途：按照数据使用目的进行细化分类。</w:t>
      </w:r>
    </w:p>
    <w:p>
      <w:pPr>
        <w:numPr>
          <w:ilvl w:val="0"/>
          <w:numId w:val="13"/>
        </w:numPr>
        <w:adjustRightInd/>
        <w:spacing w:line="240" w:lineRule="auto"/>
        <w:rPr>
          <w:rFonts w:ascii="宋体" w:hAnsi="Times New Roman"/>
          <w:szCs w:val="24"/>
        </w:rPr>
      </w:pPr>
      <w:r>
        <w:rPr>
          <w:rFonts w:hint="eastAsia" w:ascii="宋体" w:hAnsi="Times New Roman"/>
          <w:szCs w:val="24"/>
        </w:rPr>
        <w:t>数据处理：按照数据处理者类型、数据处理活动或数据管理活动进行细化分类。</w:t>
      </w:r>
    </w:p>
    <w:p>
      <w:pPr>
        <w:numPr>
          <w:ilvl w:val="0"/>
          <w:numId w:val="13"/>
        </w:numPr>
        <w:adjustRightInd/>
        <w:spacing w:line="240" w:lineRule="auto"/>
        <w:rPr>
          <w:rFonts w:ascii="宋体" w:hAnsi="Times New Roman"/>
          <w:szCs w:val="24"/>
        </w:rPr>
      </w:pPr>
      <w:r>
        <w:rPr>
          <w:rFonts w:hint="eastAsia" w:ascii="宋体" w:hAnsi="Times New Roman"/>
          <w:szCs w:val="24"/>
        </w:rPr>
        <w:t>版权情况：按照数据版权详情进行细化分类。</w:t>
      </w:r>
    </w:p>
    <w:p>
      <w:pPr>
        <w:numPr>
          <w:ilvl w:val="0"/>
          <w:numId w:val="13"/>
        </w:numPr>
        <w:adjustRightInd/>
        <w:spacing w:line="240" w:lineRule="auto"/>
        <w:rPr>
          <w:rFonts w:ascii="宋体" w:hAnsi="Times New Roman"/>
          <w:szCs w:val="24"/>
        </w:rPr>
      </w:pPr>
      <w:r>
        <w:rPr>
          <w:rFonts w:hint="eastAsia" w:ascii="宋体" w:hAnsi="Times New Roman"/>
          <w:szCs w:val="24"/>
        </w:rPr>
        <w:t>生成主体：按照公共数据、企业数据、个人数据进行分类。</w:t>
      </w:r>
    </w:p>
    <w:p>
      <w:pPr>
        <w:numPr>
          <w:ilvl w:val="0"/>
          <w:numId w:val="13"/>
        </w:numPr>
        <w:adjustRightInd/>
        <w:spacing w:line="240" w:lineRule="auto"/>
        <w:rPr>
          <w:rFonts w:ascii="宋体" w:hAnsi="Times New Roman"/>
          <w:szCs w:val="24"/>
        </w:rPr>
      </w:pPr>
      <w:r>
        <w:rPr>
          <w:rFonts w:hint="eastAsia" w:ascii="宋体" w:hAnsi="Times New Roman"/>
          <w:szCs w:val="24"/>
        </w:rPr>
        <w:t>数据模态：按照数据模态分为文本数据、音频数据、图片数据、视频数据</w:t>
      </w:r>
      <w:r>
        <w:rPr>
          <w:rFonts w:hint="eastAsia" w:ascii="宋体" w:hAnsi="Times New Roman"/>
          <w:color w:val="FF0000"/>
          <w:szCs w:val="24"/>
        </w:rPr>
        <w:t>、混合模态数据</w:t>
      </w:r>
      <w:r>
        <w:rPr>
          <w:rFonts w:hint="eastAsia" w:ascii="宋体" w:hAnsi="Times New Roman"/>
          <w:szCs w:val="24"/>
        </w:rPr>
        <w:t>等。</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企业（或机构）开展出版数据分类工作时，可以结合自身需求对</w:t>
      </w:r>
      <w:r>
        <w:rPr>
          <w:rFonts w:ascii="宋体" w:hAnsi="Times New Roman"/>
          <w:szCs w:val="24"/>
        </w:rPr>
        <w:t>分类</w:t>
      </w:r>
      <w:r>
        <w:rPr>
          <w:rFonts w:hint="eastAsia" w:ascii="宋体" w:hAnsi="Times New Roman"/>
          <w:szCs w:val="24"/>
        </w:rPr>
        <w:t>维度进行选择、调整或增设等，构建适用于业务开展和数据安全的出版数据分类框架。分类框架样例见附录B。</w:t>
      </w:r>
    </w:p>
    <w:p>
      <w:pPr>
        <w:pStyle w:val="108"/>
        <w:spacing w:before="120" w:after="120"/>
      </w:pPr>
      <w:bookmarkStart w:id="44" w:name="_Toc217290832"/>
      <w:bookmarkStart w:id="45" w:name="_Toc1671281291"/>
      <w:r>
        <w:rPr>
          <w:rFonts w:hint="eastAsia"/>
        </w:rPr>
        <w:t>数据分类流程</w:t>
      </w:r>
      <w:bookmarkEnd w:id="44"/>
      <w:bookmarkEnd w:id="45"/>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出版数据</w:t>
      </w:r>
      <w:r>
        <w:rPr>
          <w:rFonts w:ascii="宋体" w:hAnsi="Times New Roman"/>
          <w:szCs w:val="24"/>
        </w:rPr>
        <w:t>分类</w:t>
      </w:r>
      <w:r>
        <w:rPr>
          <w:rFonts w:hint="eastAsia" w:ascii="宋体" w:hAnsi="Times New Roman"/>
          <w:szCs w:val="24"/>
        </w:rPr>
        <w:t>可按照下列</w:t>
      </w:r>
      <w:r>
        <w:rPr>
          <w:rFonts w:ascii="宋体" w:hAnsi="Times New Roman"/>
          <w:szCs w:val="24"/>
        </w:rPr>
        <w:t>流程</w:t>
      </w:r>
      <w:r>
        <w:rPr>
          <w:rFonts w:hint="eastAsia" w:ascii="宋体" w:hAnsi="Times New Roman"/>
          <w:szCs w:val="24"/>
        </w:rPr>
        <w:t>分四步展开。</w:t>
      </w:r>
    </w:p>
    <w:p>
      <w:pPr>
        <w:numPr>
          <w:ilvl w:val="0"/>
          <w:numId w:val="34"/>
        </w:numPr>
        <w:tabs>
          <w:tab w:val="left" w:pos="851"/>
        </w:tabs>
        <w:adjustRightInd/>
        <w:spacing w:line="240" w:lineRule="auto"/>
        <w:rPr>
          <w:rFonts w:ascii="宋体" w:hAnsi="Times New Roman"/>
          <w:szCs w:val="24"/>
        </w:rPr>
      </w:pPr>
      <w:r>
        <w:rPr>
          <w:rFonts w:hint="eastAsia" w:ascii="宋体" w:hAnsi="Times New Roman"/>
          <w:szCs w:val="24"/>
        </w:rPr>
        <w:t>调研数据现状。主要调研数据基本情况，包括但不限于数据合规、数据质量、存储现状、应用情况等。</w:t>
      </w:r>
    </w:p>
    <w:p>
      <w:pPr>
        <w:numPr>
          <w:ilvl w:val="0"/>
          <w:numId w:val="13"/>
        </w:numPr>
        <w:adjustRightInd/>
        <w:spacing w:line="240" w:lineRule="auto"/>
        <w:rPr>
          <w:rFonts w:ascii="宋体" w:hAnsi="Times New Roman"/>
          <w:szCs w:val="24"/>
        </w:rPr>
      </w:pPr>
      <w:r>
        <w:rPr>
          <w:rFonts w:hint="eastAsia" w:ascii="宋体" w:hAnsi="Times New Roman"/>
          <w:szCs w:val="24"/>
        </w:rPr>
        <w:t>确定分类对象。可通过以下6个方面分析分类对象特征属性：</w:t>
      </w:r>
    </w:p>
    <w:p>
      <w:pPr>
        <w:numPr>
          <w:ilvl w:val="1"/>
          <w:numId w:val="13"/>
        </w:numPr>
        <w:adjustRightInd/>
        <w:spacing w:line="240" w:lineRule="auto"/>
        <w:rPr>
          <w:rFonts w:ascii="宋体" w:hAnsi="Times New Roman"/>
          <w:szCs w:val="24"/>
        </w:rPr>
      </w:pPr>
      <w:r>
        <w:rPr>
          <w:rFonts w:hint="eastAsia" w:ascii="宋体" w:hAnsi="Times New Roman"/>
          <w:szCs w:val="24"/>
        </w:rPr>
        <w:t>确定数据分类的范围；</w:t>
      </w:r>
    </w:p>
    <w:p>
      <w:pPr>
        <w:numPr>
          <w:ilvl w:val="1"/>
          <w:numId w:val="13"/>
        </w:numPr>
        <w:adjustRightInd/>
        <w:spacing w:line="240" w:lineRule="auto"/>
        <w:rPr>
          <w:rFonts w:ascii="宋体" w:hAnsi="Times New Roman"/>
          <w:szCs w:val="24"/>
        </w:rPr>
      </w:pPr>
      <w:r>
        <w:rPr>
          <w:rFonts w:hint="eastAsia" w:ascii="宋体" w:hAnsi="Times New Roman"/>
          <w:szCs w:val="24"/>
        </w:rPr>
        <w:t>确定数据产生的来源、频率、起止时间；</w:t>
      </w:r>
    </w:p>
    <w:p>
      <w:pPr>
        <w:numPr>
          <w:ilvl w:val="1"/>
          <w:numId w:val="13"/>
        </w:numPr>
        <w:adjustRightInd/>
        <w:spacing w:line="240" w:lineRule="auto"/>
        <w:rPr>
          <w:rFonts w:ascii="宋体" w:hAnsi="Times New Roman"/>
          <w:szCs w:val="24"/>
        </w:rPr>
      </w:pPr>
      <w:r>
        <w:rPr>
          <w:rFonts w:hint="eastAsia" w:ascii="宋体" w:hAnsi="Times New Roman"/>
          <w:szCs w:val="24"/>
        </w:rPr>
        <w:t>确定数据加工程度、处理时效；</w:t>
      </w:r>
    </w:p>
    <w:p>
      <w:pPr>
        <w:numPr>
          <w:ilvl w:val="1"/>
          <w:numId w:val="13"/>
        </w:numPr>
        <w:adjustRightInd/>
        <w:spacing w:line="240" w:lineRule="auto"/>
        <w:rPr>
          <w:rFonts w:ascii="宋体" w:hAnsi="Times New Roman"/>
          <w:szCs w:val="24"/>
        </w:rPr>
      </w:pPr>
      <w:r>
        <w:rPr>
          <w:rFonts w:hint="eastAsia" w:ascii="宋体" w:hAnsi="Times New Roman"/>
          <w:szCs w:val="24"/>
        </w:rPr>
        <w:t>确定数据质量、敏感程度；</w:t>
      </w:r>
    </w:p>
    <w:p>
      <w:pPr>
        <w:numPr>
          <w:ilvl w:val="1"/>
          <w:numId w:val="13"/>
        </w:numPr>
        <w:adjustRightInd/>
        <w:spacing w:line="240" w:lineRule="auto"/>
        <w:rPr>
          <w:rFonts w:ascii="宋体" w:hAnsi="Times New Roman"/>
          <w:szCs w:val="24"/>
        </w:rPr>
      </w:pPr>
      <w:r>
        <w:rPr>
          <w:rFonts w:hint="eastAsia" w:ascii="宋体" w:hAnsi="Times New Roman"/>
          <w:szCs w:val="24"/>
        </w:rPr>
        <w:t>确定数据量大小、存储方式；</w:t>
      </w:r>
    </w:p>
    <w:p>
      <w:pPr>
        <w:numPr>
          <w:ilvl w:val="1"/>
          <w:numId w:val="13"/>
        </w:numPr>
        <w:adjustRightInd/>
        <w:spacing w:line="240" w:lineRule="auto"/>
        <w:rPr>
          <w:rFonts w:ascii="宋体" w:hAnsi="Times New Roman"/>
          <w:szCs w:val="24"/>
        </w:rPr>
      </w:pPr>
      <w:r>
        <w:rPr>
          <w:rFonts w:hint="eastAsia" w:ascii="宋体" w:hAnsi="Times New Roman"/>
          <w:szCs w:val="24"/>
        </w:rPr>
        <w:t>确定数据使用场景等。</w:t>
      </w:r>
    </w:p>
    <w:p>
      <w:pPr>
        <w:numPr>
          <w:ilvl w:val="0"/>
          <w:numId w:val="13"/>
        </w:numPr>
        <w:adjustRightInd/>
        <w:spacing w:line="240" w:lineRule="auto"/>
        <w:rPr>
          <w:rFonts w:ascii="宋体" w:hAnsi="Times New Roman"/>
          <w:szCs w:val="24"/>
        </w:rPr>
      </w:pPr>
      <w:r>
        <w:rPr>
          <w:rFonts w:hint="eastAsia" w:ascii="宋体" w:hAnsi="Times New Roman"/>
          <w:szCs w:val="24"/>
        </w:rPr>
        <w:t>构建分类框架。根据数据现状选取合适的分类维度和类别，结合业务特点和管理需求，构建数据分类框架。</w:t>
      </w:r>
    </w:p>
    <w:p>
      <w:pPr>
        <w:numPr>
          <w:ilvl w:val="0"/>
          <w:numId w:val="13"/>
        </w:numPr>
        <w:adjustRightInd/>
        <w:spacing w:line="240" w:lineRule="auto"/>
        <w:rPr>
          <w:rFonts w:ascii="宋体" w:hAnsi="Times New Roman"/>
          <w:szCs w:val="24"/>
        </w:rPr>
      </w:pPr>
      <w:r>
        <w:rPr>
          <w:rFonts w:hint="eastAsia" w:ascii="宋体" w:hAnsi="Times New Roman"/>
          <w:szCs w:val="24"/>
        </w:rPr>
        <w:t>形成分类目录。按照构建的数据分类框架，梳理形成数据分类目录；根据实际情况，结合数据分类目的与需求，综合评估数据分类的质量，包括但不限于分类覆盖度、准确性、一致性等，并根据分类质量对分类框架实施调整，直至分类满足相关要求；对数据分类结果进行审批和发布；定期或在发生变化时对分类进行调整。</w:t>
      </w:r>
    </w:p>
    <w:p>
      <w:pPr>
        <w:pStyle w:val="107"/>
        <w:spacing w:before="240" w:after="240"/>
      </w:pPr>
      <w:bookmarkStart w:id="46" w:name="_Toc979819555"/>
      <w:bookmarkStart w:id="47" w:name="_Toc217290833"/>
      <w:r>
        <w:rPr>
          <w:rFonts w:hint="eastAsia"/>
        </w:rPr>
        <w:t>数据分级</w:t>
      </w:r>
      <w:bookmarkEnd w:id="46"/>
      <w:bookmarkEnd w:id="47"/>
    </w:p>
    <w:p>
      <w:pPr>
        <w:pStyle w:val="108"/>
        <w:spacing w:before="120" w:after="120"/>
      </w:pPr>
      <w:bookmarkStart w:id="48" w:name="_Toc1210913716"/>
      <w:bookmarkStart w:id="49" w:name="_Toc217290834"/>
      <w:r>
        <w:rPr>
          <w:rFonts w:hint="eastAsia"/>
        </w:rPr>
        <w:t>数据分级框架</w:t>
      </w:r>
      <w:bookmarkEnd w:id="48"/>
      <w:bookmarkEnd w:id="49"/>
    </w:p>
    <w:p>
      <w:pPr>
        <w:autoSpaceDE w:val="0"/>
        <w:autoSpaceDN w:val="0"/>
        <w:adjustRightInd/>
        <w:spacing w:line="240" w:lineRule="auto"/>
        <w:ind w:firstLine="420" w:firstLineChars="200"/>
        <w:rPr>
          <w:rFonts w:ascii="宋体" w:hAnsi="Times New Roman"/>
          <w:szCs w:val="24"/>
          <w:highlight w:val="green"/>
        </w:rPr>
      </w:pPr>
      <w:r>
        <w:rPr>
          <w:rFonts w:hint="eastAsia" w:ascii="宋体" w:hAnsi="Times New Roman"/>
          <w:szCs w:val="24"/>
        </w:rPr>
        <w:t>出版数据经汇聚达到较大规模、较高精度、一定深度后，一旦遭到泄露、篡改、损毁或者非法获取、非法使用、非法共享，可能对国家安全、经济运行、社会秩序、公共利益、组织权益、个人权益造成危害。在数据分类的基础上，根据对不同对象造成的危害程度，将出版数据从高到低分为核心数据、重要数据、一般数据三个级别。为适应一般数据安全使用需求，将一般数据进一步细分为一般数据1级别、一般数据2级、一般数据3级、一般数据4级。</w:t>
      </w:r>
    </w:p>
    <w:p>
      <w:pPr>
        <w:pStyle w:val="108"/>
        <w:spacing w:before="120" w:after="120"/>
      </w:pPr>
      <w:bookmarkStart w:id="50" w:name="_Toc1902445218"/>
      <w:bookmarkStart w:id="51" w:name="_Toc217290835"/>
      <w:r>
        <w:rPr>
          <w:rFonts w:hint="eastAsia"/>
        </w:rPr>
        <w:t>数据分级方法</w:t>
      </w:r>
      <w:bookmarkEnd w:id="50"/>
      <w:bookmarkEnd w:id="51"/>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可参考以下方法确定数据级别。</w:t>
      </w:r>
    </w:p>
    <w:p>
      <w:pPr>
        <w:numPr>
          <w:ilvl w:val="0"/>
          <w:numId w:val="35"/>
        </w:numPr>
        <w:tabs>
          <w:tab w:val="left" w:pos="851"/>
        </w:tabs>
        <w:adjustRightInd/>
        <w:spacing w:line="240" w:lineRule="auto"/>
        <w:rPr>
          <w:rFonts w:ascii="宋体" w:hAnsi="Times New Roman"/>
          <w:szCs w:val="24"/>
        </w:rPr>
      </w:pPr>
      <w:r>
        <w:rPr>
          <w:rFonts w:hint="eastAsia" w:ascii="宋体" w:hAnsi="Times New Roman"/>
          <w:szCs w:val="24"/>
        </w:rPr>
        <w:t>确定分级对象：确定待分级的出版数据，如条目数据、全文数据、数据项、数据集等。</w:t>
      </w:r>
    </w:p>
    <w:p>
      <w:pPr>
        <w:numPr>
          <w:ilvl w:val="0"/>
          <w:numId w:val="13"/>
        </w:numPr>
        <w:adjustRightInd/>
        <w:spacing w:line="240" w:lineRule="auto"/>
        <w:rPr>
          <w:rFonts w:ascii="宋体" w:hAnsi="Times New Roman"/>
          <w:szCs w:val="24"/>
        </w:rPr>
      </w:pPr>
      <w:r>
        <w:rPr>
          <w:rFonts w:hint="eastAsia" w:ascii="宋体" w:hAnsi="Times New Roman"/>
          <w:szCs w:val="24"/>
        </w:rPr>
        <w:t>识别分级要素：结合出版数据分类属性的不同特点，按照6.3识别出版数据的领域、群体、区域、版权情况、敏感度、精度、规模、传播度、重要度等分级要素情况。</w:t>
      </w:r>
    </w:p>
    <w:p>
      <w:pPr>
        <w:numPr>
          <w:ilvl w:val="0"/>
          <w:numId w:val="13"/>
        </w:numPr>
        <w:adjustRightInd/>
        <w:spacing w:line="240" w:lineRule="auto"/>
        <w:rPr>
          <w:rFonts w:ascii="宋体" w:hAnsi="Times New Roman"/>
          <w:szCs w:val="24"/>
        </w:rPr>
      </w:pPr>
      <w:r>
        <w:rPr>
          <w:rFonts w:hint="eastAsia" w:ascii="宋体" w:hAnsi="Times New Roman"/>
          <w:szCs w:val="24"/>
        </w:rPr>
        <w:t>分析数据影响：结合出版数据分级要素识别情况，分析出版数据一旦遭到泄露、篡改、损毁或非法获取、非法使用、非法共享，可能影响的对象和影响的程度（见6.4）。</w:t>
      </w:r>
    </w:p>
    <w:p>
      <w:pPr>
        <w:numPr>
          <w:ilvl w:val="0"/>
          <w:numId w:val="13"/>
        </w:numPr>
        <w:adjustRightInd/>
        <w:spacing w:line="240" w:lineRule="auto"/>
        <w:rPr>
          <w:rFonts w:ascii="宋体" w:hAnsi="Times New Roman"/>
          <w:szCs w:val="24"/>
        </w:rPr>
      </w:pPr>
      <w:r>
        <w:rPr>
          <w:rFonts w:hint="eastAsia" w:ascii="宋体" w:hAnsi="Times New Roman"/>
          <w:szCs w:val="24"/>
        </w:rPr>
        <w:t>确定安全级别：按照6.3和6.4，综合确定出版数据级别。</w:t>
      </w:r>
    </w:p>
    <w:p>
      <w:pPr>
        <w:pStyle w:val="108"/>
        <w:spacing w:before="120" w:after="120"/>
      </w:pPr>
      <w:bookmarkStart w:id="52" w:name="_Toc1313298983"/>
      <w:bookmarkStart w:id="53" w:name="_Toc217290836"/>
      <w:r>
        <w:rPr>
          <w:rFonts w:hint="eastAsia"/>
        </w:rPr>
        <w:t>数据分级要素</w:t>
      </w:r>
      <w:bookmarkEnd w:id="52"/>
      <w:bookmarkEnd w:id="53"/>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影响出版数据分级的要素，包括出版数据涉及的领域、群体、区域、版权情况、精度、规模、敏感度、传播度、重要度等，其中领域、群体、区域、版权情况等通常属于定性描述的分级要素，精度、规模、敏感度、传播度、重要度等属于定量描述的分级要素。</w:t>
      </w:r>
    </w:p>
    <w:p>
      <w:pPr>
        <w:numPr>
          <w:ilvl w:val="0"/>
          <w:numId w:val="36"/>
        </w:numPr>
        <w:tabs>
          <w:tab w:val="left" w:pos="851"/>
        </w:tabs>
        <w:adjustRightInd/>
        <w:spacing w:line="240" w:lineRule="auto"/>
        <w:rPr>
          <w:rFonts w:ascii="宋体" w:hAnsi="Times New Roman"/>
          <w:szCs w:val="24"/>
        </w:rPr>
      </w:pPr>
      <w:r>
        <w:rPr>
          <w:rFonts w:hint="eastAsia" w:ascii="宋体" w:hAnsi="Times New Roman"/>
          <w:szCs w:val="24"/>
        </w:rPr>
        <w:t>领域：出版数据描述的业务或内容范畴。可识别的因素包括出版数据描述的学科领域、行业领域、内容主题等。</w:t>
      </w:r>
    </w:p>
    <w:p>
      <w:pPr>
        <w:numPr>
          <w:ilvl w:val="0"/>
          <w:numId w:val="13"/>
        </w:numPr>
        <w:adjustRightInd/>
        <w:spacing w:line="240" w:lineRule="auto"/>
        <w:rPr>
          <w:rFonts w:ascii="宋体" w:hAnsi="Times New Roman"/>
          <w:szCs w:val="24"/>
        </w:rPr>
      </w:pPr>
      <w:r>
        <w:rPr>
          <w:rFonts w:hint="eastAsia" w:ascii="宋体" w:hAnsi="Times New Roman"/>
          <w:szCs w:val="24"/>
        </w:rPr>
        <w:t>群体：出版数据描述的对象集合。可识别的因素包括出版数据描述的作者、艺术创作者、学术研究者、机构等。</w:t>
      </w:r>
    </w:p>
    <w:p>
      <w:pPr>
        <w:numPr>
          <w:ilvl w:val="0"/>
          <w:numId w:val="13"/>
        </w:numPr>
        <w:adjustRightInd/>
        <w:spacing w:line="240" w:lineRule="auto"/>
        <w:rPr>
          <w:rFonts w:ascii="宋体" w:hAnsi="Times New Roman"/>
          <w:szCs w:val="24"/>
        </w:rPr>
      </w:pPr>
      <w:r>
        <w:rPr>
          <w:rFonts w:hint="eastAsia" w:ascii="宋体" w:hAnsi="Times New Roman"/>
          <w:szCs w:val="24"/>
        </w:rPr>
        <w:t>区域：出版数据涉及的地区范围。可识别的因素包括出版数据描述的行政区域、特定地区等。</w:t>
      </w:r>
    </w:p>
    <w:p>
      <w:pPr>
        <w:numPr>
          <w:ilvl w:val="0"/>
          <w:numId w:val="13"/>
        </w:numPr>
        <w:adjustRightInd/>
        <w:spacing w:line="240" w:lineRule="auto"/>
        <w:rPr>
          <w:rFonts w:ascii="宋体" w:hAnsi="Times New Roman"/>
          <w:szCs w:val="24"/>
        </w:rPr>
      </w:pPr>
      <w:bookmarkStart w:id="54" w:name="OLE_LINK7"/>
      <w:r>
        <w:rPr>
          <w:rFonts w:hint="eastAsia" w:ascii="宋体" w:hAnsi="Times New Roman"/>
          <w:szCs w:val="24"/>
        </w:rPr>
        <w:t>版权情况</w:t>
      </w:r>
      <w:bookmarkEnd w:id="54"/>
      <w:r>
        <w:rPr>
          <w:rFonts w:hint="eastAsia" w:ascii="宋体" w:hAnsi="Times New Roman"/>
          <w:szCs w:val="24"/>
        </w:rPr>
        <w:t>：出版数据授权情况。可识别的因素包括出版数据的权利归属、授权合法、授权范围、授权时间等。</w:t>
      </w:r>
    </w:p>
    <w:p>
      <w:pPr>
        <w:numPr>
          <w:ilvl w:val="0"/>
          <w:numId w:val="13"/>
        </w:numPr>
        <w:adjustRightInd/>
        <w:spacing w:line="240" w:lineRule="auto"/>
        <w:rPr>
          <w:rFonts w:ascii="宋体" w:hAnsi="Times New Roman"/>
          <w:szCs w:val="24"/>
        </w:rPr>
      </w:pPr>
      <w:r>
        <w:rPr>
          <w:rFonts w:hint="eastAsia" w:ascii="宋体" w:hAnsi="Times New Roman"/>
          <w:szCs w:val="24"/>
        </w:rPr>
        <w:t>精度：出版内容中数值的精确或者准确程度。可识别的因素包括数值精度、空间精度、时间精度、测量精度等。</w:t>
      </w:r>
    </w:p>
    <w:p>
      <w:pPr>
        <w:numPr>
          <w:ilvl w:val="0"/>
          <w:numId w:val="13"/>
        </w:numPr>
        <w:adjustRightInd/>
        <w:spacing w:line="240" w:lineRule="auto"/>
        <w:rPr>
          <w:rFonts w:ascii="宋体" w:hAnsi="Times New Roman"/>
          <w:szCs w:val="24"/>
        </w:rPr>
      </w:pPr>
      <w:r>
        <w:rPr>
          <w:rFonts w:hint="eastAsia" w:ascii="宋体" w:hAnsi="Times New Roman"/>
          <w:szCs w:val="24"/>
        </w:rPr>
        <w:t>规模：出版数据量或出版数据所描述对象的规模。可识别的因素包括数据存储量、群体规模、领域规模、区域规模、汇聚规模等。</w:t>
      </w:r>
    </w:p>
    <w:p>
      <w:pPr>
        <w:numPr>
          <w:ilvl w:val="0"/>
          <w:numId w:val="13"/>
        </w:numPr>
        <w:adjustRightInd/>
        <w:spacing w:line="240" w:lineRule="auto"/>
        <w:rPr>
          <w:rFonts w:ascii="宋体" w:hAnsi="Times New Roman"/>
          <w:szCs w:val="24"/>
        </w:rPr>
      </w:pPr>
      <w:r>
        <w:rPr>
          <w:rFonts w:hint="eastAsia" w:ascii="宋体" w:hAnsi="Times New Roman"/>
          <w:szCs w:val="24"/>
        </w:rPr>
        <w:t>敏感度：出版数据内容的敏感程度或保密程度。可识别的因素包括意识形态、敏感区域、敏感人物、敏感内容等。</w:t>
      </w:r>
    </w:p>
    <w:p>
      <w:pPr>
        <w:numPr>
          <w:ilvl w:val="0"/>
          <w:numId w:val="13"/>
        </w:numPr>
        <w:adjustRightInd/>
        <w:spacing w:line="240" w:lineRule="auto"/>
        <w:rPr>
          <w:rFonts w:ascii="宋体" w:hAnsi="Times New Roman"/>
          <w:szCs w:val="24"/>
        </w:rPr>
      </w:pPr>
      <w:r>
        <w:rPr>
          <w:rFonts w:hint="eastAsia" w:ascii="宋体" w:hAnsi="Times New Roman"/>
          <w:szCs w:val="24"/>
        </w:rPr>
        <w:t>传播度：出版数据传播的范围和程度。可识别的因素包括传播广度、参与深度、传播效率、影响力等。</w:t>
      </w:r>
    </w:p>
    <w:p>
      <w:pPr>
        <w:numPr>
          <w:ilvl w:val="0"/>
          <w:numId w:val="13"/>
        </w:numPr>
        <w:adjustRightInd/>
        <w:spacing w:line="240" w:lineRule="auto"/>
        <w:rPr>
          <w:rFonts w:ascii="宋体" w:hAnsi="Times New Roman"/>
          <w:szCs w:val="24"/>
        </w:rPr>
      </w:pPr>
      <w:r>
        <w:rPr>
          <w:rFonts w:hint="eastAsia" w:ascii="宋体" w:hAnsi="Times New Roman"/>
          <w:szCs w:val="24"/>
        </w:rPr>
        <w:t>重要度：出版数据内容的重要程度。可识别的因素包括出版数据的经济价值、学术价值、社会效益等。</w:t>
      </w:r>
    </w:p>
    <w:p>
      <w:pPr>
        <w:pStyle w:val="108"/>
        <w:spacing w:before="120" w:after="120"/>
      </w:pPr>
      <w:bookmarkStart w:id="55" w:name="_Toc1954181317"/>
      <w:bookmarkStart w:id="56" w:name="_Toc217290837"/>
      <w:r>
        <w:rPr>
          <w:rFonts w:hint="eastAsia"/>
        </w:rPr>
        <w:t>影响对象和影响程度</w:t>
      </w:r>
      <w:bookmarkEnd w:id="55"/>
      <w:bookmarkEnd w:id="56"/>
    </w:p>
    <w:p>
      <w:pPr>
        <w:pStyle w:val="68"/>
        <w:spacing w:before="120" w:after="120"/>
      </w:pPr>
      <w:bookmarkStart w:id="57" w:name="_Toc1499204975"/>
      <w:bookmarkStart w:id="58" w:name="_Toc217290838"/>
      <w:r>
        <w:rPr>
          <w:rFonts w:hint="eastAsia"/>
        </w:rPr>
        <w:t>影响对象</w:t>
      </w:r>
      <w:bookmarkEnd w:id="57"/>
      <w:bookmarkEnd w:id="58"/>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出版数据的影响对象通常包括国家安全、经济运行、社会秩序、公共利益、组织权益和个人权益</w:t>
      </w:r>
      <w:r>
        <w:rPr>
          <w:rFonts w:ascii="宋体" w:hAnsi="Times New Roman"/>
          <w:szCs w:val="24"/>
        </w:rPr>
        <w:t>。</w:t>
      </w:r>
    </w:p>
    <w:p>
      <w:pPr>
        <w:numPr>
          <w:ilvl w:val="0"/>
          <w:numId w:val="37"/>
        </w:numPr>
        <w:tabs>
          <w:tab w:val="left" w:pos="851"/>
        </w:tabs>
        <w:adjustRightInd/>
        <w:spacing w:line="240" w:lineRule="auto"/>
        <w:rPr>
          <w:rFonts w:ascii="宋体" w:hAnsi="Times New Roman"/>
          <w:szCs w:val="24"/>
        </w:rPr>
      </w:pPr>
      <w:r>
        <w:rPr>
          <w:rFonts w:hint="eastAsia" w:ascii="宋体" w:hAnsi="Times New Roman"/>
          <w:szCs w:val="24"/>
        </w:rPr>
        <w:t>国家安全：影响总体国家安全观诸多领域的国家利益安全，如政治、军事、国土、经济、金融、文化、社会、科技、网络、粮食、生态、资源、核、海外利益、太空、深海、极地、生物、人工智能、数据等。</w:t>
      </w:r>
    </w:p>
    <w:p>
      <w:pPr>
        <w:numPr>
          <w:ilvl w:val="0"/>
          <w:numId w:val="13"/>
        </w:numPr>
        <w:adjustRightInd/>
        <w:spacing w:line="240" w:lineRule="auto"/>
        <w:rPr>
          <w:rFonts w:ascii="宋体" w:hAnsi="Times New Roman"/>
          <w:szCs w:val="24"/>
        </w:rPr>
      </w:pPr>
      <w:r>
        <w:rPr>
          <w:rFonts w:hint="eastAsia" w:ascii="宋体" w:hAnsi="Times New Roman"/>
          <w:szCs w:val="24"/>
        </w:rPr>
        <w:t>经济运行：影响市场经济运行秩序、宏观经济形势、国民经济命脉、行业领域产业发展等经济运行机制。</w:t>
      </w:r>
    </w:p>
    <w:p>
      <w:pPr>
        <w:numPr>
          <w:ilvl w:val="0"/>
          <w:numId w:val="13"/>
        </w:numPr>
        <w:adjustRightInd/>
        <w:spacing w:line="240" w:lineRule="auto"/>
        <w:rPr>
          <w:rFonts w:ascii="宋体" w:hAnsi="Times New Roman"/>
          <w:szCs w:val="24"/>
        </w:rPr>
      </w:pPr>
      <w:r>
        <w:rPr>
          <w:rFonts w:hint="eastAsia" w:ascii="宋体" w:hAnsi="Times New Roman"/>
          <w:szCs w:val="24"/>
        </w:rPr>
        <w:t>社会秩序：影响社会治安和公共安全、社会日常生活秩序、民生福祉、法治和伦理道德等社会秩序。</w:t>
      </w:r>
    </w:p>
    <w:p>
      <w:pPr>
        <w:numPr>
          <w:ilvl w:val="0"/>
          <w:numId w:val="13"/>
        </w:numPr>
        <w:adjustRightInd/>
        <w:spacing w:line="240" w:lineRule="auto"/>
        <w:rPr>
          <w:rFonts w:ascii="宋体" w:hAnsi="Times New Roman"/>
          <w:szCs w:val="24"/>
        </w:rPr>
      </w:pPr>
      <w:r>
        <w:rPr>
          <w:rFonts w:hint="eastAsia" w:ascii="宋体" w:hAnsi="Times New Roman"/>
          <w:szCs w:val="24"/>
        </w:rPr>
        <w:t>公共利益：影响社会公众使用公共服务、公共设施、公共资源或影响公共健康安全等公共利益。</w:t>
      </w:r>
    </w:p>
    <w:p>
      <w:pPr>
        <w:numPr>
          <w:ilvl w:val="0"/>
          <w:numId w:val="13"/>
        </w:numPr>
        <w:adjustRightInd/>
        <w:spacing w:line="240" w:lineRule="auto"/>
        <w:rPr>
          <w:rFonts w:ascii="宋体" w:hAnsi="Times New Roman"/>
          <w:szCs w:val="24"/>
        </w:rPr>
      </w:pPr>
      <w:r>
        <w:rPr>
          <w:rFonts w:hint="eastAsia" w:ascii="宋体" w:hAnsi="Times New Roman"/>
          <w:szCs w:val="24"/>
        </w:rPr>
        <w:t>组织权益：影响组织自身或其他组织的生产运营、声誉形象、公信力、知识产权等组织权益。</w:t>
      </w:r>
    </w:p>
    <w:p>
      <w:pPr>
        <w:numPr>
          <w:ilvl w:val="0"/>
          <w:numId w:val="13"/>
        </w:numPr>
        <w:adjustRightInd/>
        <w:spacing w:line="240" w:lineRule="auto"/>
        <w:rPr>
          <w:rFonts w:ascii="宋体" w:hAnsi="Times New Roman"/>
          <w:szCs w:val="24"/>
        </w:rPr>
      </w:pPr>
      <w:r>
        <w:rPr>
          <w:rFonts w:hint="eastAsia" w:ascii="宋体" w:hAnsi="Times New Roman"/>
          <w:szCs w:val="24"/>
        </w:rPr>
        <w:t>个人权益：影响自然人的人身权、财产权、隐私权、个人信息权益等个人权益。</w:t>
      </w:r>
    </w:p>
    <w:p>
      <w:pPr>
        <w:pStyle w:val="68"/>
        <w:spacing w:before="120" w:after="120"/>
      </w:pPr>
      <w:bookmarkStart w:id="59" w:name="_Toc17063516"/>
      <w:bookmarkStart w:id="60" w:name="_Toc217290839"/>
      <w:r>
        <w:rPr>
          <w:rFonts w:hint="eastAsia"/>
        </w:rPr>
        <w:t>影响程度</w:t>
      </w:r>
      <w:bookmarkEnd w:id="59"/>
      <w:bookmarkEnd w:id="60"/>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影响程度是指出版数据一旦遭到泄露、篡改、损毁或者非法获取、非法使用、非法共享，可能造成的影响程度。影响程度从高到低可分为特别严重危害、严重危害、一般危害、无危害。对不同影响对象进行影响程度判断时，采取的基准不同。如果影响对象是国家安全、经济运行、社会秩序或公共利益，则以国家、社会或行业领域的整体利益作为判断影响程度的基准。如果影响对象仅是组织或个人权益，则以组织或公民个人的权益作为判断影响程度的基准。开展数据影响分析时，按照以下规则确定影响程度。</w:t>
      </w:r>
    </w:p>
    <w:p>
      <w:pPr>
        <w:numPr>
          <w:ilvl w:val="0"/>
          <w:numId w:val="38"/>
        </w:numPr>
        <w:tabs>
          <w:tab w:val="left" w:pos="851"/>
        </w:tabs>
        <w:adjustRightInd/>
        <w:spacing w:line="240" w:lineRule="auto"/>
        <w:rPr>
          <w:rFonts w:ascii="宋体" w:hAnsi="Times New Roman"/>
          <w:szCs w:val="24"/>
        </w:rPr>
      </w:pPr>
      <w:r>
        <w:rPr>
          <w:rFonts w:hint="eastAsia" w:ascii="宋体" w:hAnsi="Times New Roman"/>
          <w:szCs w:val="24"/>
        </w:rPr>
        <w:t>当影响对象是国家安全时：</w:t>
      </w:r>
    </w:p>
    <w:p>
      <w:pPr>
        <w:pStyle w:val="112"/>
      </w:pPr>
      <w:r>
        <w:rPr>
          <w:rFonts w:hint="eastAsia"/>
        </w:rPr>
        <w:t>如果直接影响政治安全，将影响程度确定为特别严重危害；</w:t>
      </w:r>
    </w:p>
    <w:p>
      <w:pPr>
        <w:pStyle w:val="112"/>
      </w:pPr>
      <w:r>
        <w:rPr>
          <w:rFonts w:hint="eastAsia"/>
        </w:rPr>
        <w:t>如果关系其他国家安全重点领域，将影响程度确定为严重危害；</w:t>
      </w:r>
    </w:p>
    <w:p>
      <w:pPr>
        <w:pStyle w:val="112"/>
      </w:pPr>
      <w:r>
        <w:rPr>
          <w:rFonts w:hint="eastAsia"/>
        </w:rPr>
        <w:t>其他直接危害国家安全的情形，将影响程度确定为一般危害。</w:t>
      </w:r>
    </w:p>
    <w:p>
      <w:pPr>
        <w:numPr>
          <w:ilvl w:val="0"/>
          <w:numId w:val="13"/>
        </w:numPr>
        <w:adjustRightInd/>
        <w:spacing w:line="240" w:lineRule="auto"/>
        <w:rPr>
          <w:rFonts w:ascii="宋体" w:hAnsi="Times New Roman"/>
          <w:szCs w:val="24"/>
        </w:rPr>
      </w:pPr>
      <w:r>
        <w:rPr>
          <w:rFonts w:hint="eastAsia" w:ascii="宋体" w:hAnsi="Times New Roman"/>
          <w:szCs w:val="24"/>
        </w:rPr>
        <w:t>当影响对象是经济运行时：</w:t>
      </w:r>
    </w:p>
    <w:p>
      <w:pPr>
        <w:pStyle w:val="112"/>
      </w:pPr>
      <w:r>
        <w:rPr>
          <w:rFonts w:hint="eastAsia"/>
        </w:rPr>
        <w:t>如果关系国民经济命脉，将影响程度确定为特别严重危害；</w:t>
      </w:r>
    </w:p>
    <w:p>
      <w:pPr>
        <w:pStyle w:val="112"/>
      </w:pPr>
      <w:r>
        <w:rPr>
          <w:rFonts w:hint="eastAsia"/>
        </w:rPr>
        <w:t>如果直接危害宏观经济运行，或对行业领域或地区的经济发展造成严重危害，将影响程度确定为严重危害。</w:t>
      </w:r>
    </w:p>
    <w:p>
      <w:pPr>
        <w:numPr>
          <w:ilvl w:val="0"/>
          <w:numId w:val="13"/>
        </w:numPr>
        <w:adjustRightInd/>
        <w:spacing w:line="240" w:lineRule="auto"/>
        <w:rPr>
          <w:rFonts w:ascii="宋体" w:hAnsi="Times New Roman"/>
          <w:szCs w:val="24"/>
        </w:rPr>
      </w:pPr>
      <w:r>
        <w:rPr>
          <w:rFonts w:hint="eastAsia" w:ascii="宋体" w:hAnsi="Times New Roman"/>
          <w:szCs w:val="24"/>
        </w:rPr>
        <w:t>当影响对象是社会秩序时：</w:t>
      </w:r>
    </w:p>
    <w:p>
      <w:pPr>
        <w:pStyle w:val="112"/>
      </w:pPr>
      <w:r>
        <w:rPr>
          <w:rFonts w:hint="eastAsia"/>
        </w:rPr>
        <w:t xml:space="preserve">如果关系重要民生，将影响程度确定为特别严重危害； </w:t>
      </w:r>
    </w:p>
    <w:p>
      <w:pPr>
        <w:pStyle w:val="112"/>
      </w:pPr>
      <w:r>
        <w:rPr>
          <w:rFonts w:hint="eastAsia"/>
        </w:rPr>
        <w:t>如果直接危害社会稳定，将影响程度确定为严重危害。</w:t>
      </w:r>
    </w:p>
    <w:p>
      <w:pPr>
        <w:numPr>
          <w:ilvl w:val="0"/>
          <w:numId w:val="13"/>
        </w:numPr>
        <w:adjustRightInd/>
        <w:spacing w:line="240" w:lineRule="auto"/>
        <w:rPr>
          <w:rFonts w:ascii="宋体" w:hAnsi="Times New Roman"/>
          <w:szCs w:val="24"/>
        </w:rPr>
      </w:pPr>
      <w:r>
        <w:rPr>
          <w:rFonts w:hint="eastAsia" w:ascii="宋体" w:hAnsi="Times New Roman"/>
          <w:szCs w:val="24"/>
        </w:rPr>
        <w:t>当影响对象是公共利益时：</w:t>
      </w:r>
    </w:p>
    <w:p>
      <w:pPr>
        <w:pStyle w:val="112"/>
      </w:pPr>
      <w:r>
        <w:rPr>
          <w:rFonts w:hint="eastAsia"/>
        </w:rPr>
        <w:t>如果关系重大公共利益，将影响程度确定为特别严重危害；</w:t>
      </w:r>
    </w:p>
    <w:p>
      <w:pPr>
        <w:pStyle w:val="112"/>
      </w:pPr>
      <w:r>
        <w:rPr>
          <w:rFonts w:hint="eastAsia"/>
        </w:rPr>
        <w:t>如果直接危害公共健康和安全，将影响程度确定为严重危害。</w:t>
      </w:r>
    </w:p>
    <w:p>
      <w:pPr>
        <w:numPr>
          <w:ilvl w:val="0"/>
          <w:numId w:val="13"/>
        </w:numPr>
        <w:adjustRightInd/>
        <w:spacing w:line="240" w:lineRule="auto"/>
        <w:rPr>
          <w:rFonts w:ascii="宋体" w:hAnsi="Times New Roman"/>
          <w:szCs w:val="24"/>
        </w:rPr>
      </w:pPr>
      <w:r>
        <w:rPr>
          <w:rFonts w:hint="eastAsia" w:ascii="宋体" w:hAnsi="Times New Roman"/>
          <w:szCs w:val="24"/>
        </w:rPr>
        <w:t>当影响大规模的个人或组织权益时，需同时研判是否会对国家安全、经济运行、社会秩序或公共利益造成影响以及影响程度。</w:t>
      </w:r>
    </w:p>
    <w:p>
      <w:pPr>
        <w:pStyle w:val="108"/>
        <w:spacing w:before="120" w:after="120"/>
      </w:pPr>
      <w:bookmarkStart w:id="61" w:name="_Toc148322127"/>
      <w:bookmarkStart w:id="62" w:name="_Toc217290840"/>
      <w:r>
        <w:rPr>
          <w:rFonts w:hint="eastAsia"/>
        </w:rPr>
        <w:t>确定安全级别</w:t>
      </w:r>
      <w:bookmarkEnd w:id="61"/>
      <w:bookmarkEnd w:id="62"/>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在分级要素识别、影响对象识别和影响程度分析的基础上，可参考以下规则确定出版数据级别。</w:t>
      </w:r>
    </w:p>
    <w:p>
      <w:pPr>
        <w:numPr>
          <w:ilvl w:val="0"/>
          <w:numId w:val="39"/>
        </w:numPr>
        <w:tabs>
          <w:tab w:val="left" w:pos="851"/>
        </w:tabs>
        <w:adjustRightInd/>
        <w:spacing w:line="240" w:lineRule="auto"/>
        <w:rPr>
          <w:rFonts w:ascii="宋体" w:hAnsi="Times New Roman"/>
          <w:szCs w:val="24"/>
        </w:rPr>
      </w:pPr>
      <w:r>
        <w:rPr>
          <w:rFonts w:hint="eastAsia" w:ascii="宋体" w:hAnsi="Times New Roman"/>
          <w:szCs w:val="24"/>
        </w:rPr>
        <w:t>满足以下任一条件的数据，识别为核心数据。</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数据一旦遭到泄露、篡改、损毁或者非法获取、非法使用、非法共享，直接对国家安全造成特别严重危害（如直接影响政治安全）或严重危害（如关系其他国家安全重点领域）；</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数据一旦遭到泄露、篡改、损毁或者非法获取、非法使用、非法共享，直接对经济运行造成特别严重危害（如关系国民经济命脉）；</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数据一旦遭到泄露、篡改、损毁或者非法获取、非法使用、非法共享，直接对社会秩序造成特别严重危害（如关系重要民生）；</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数据一旦遭到泄露、篡改、损毁或者非法获取、非法使用、非法共享，直接对公共利益造成特别严重危害（如关系重大公共利益）；</w:t>
      </w:r>
    </w:p>
    <w:p>
      <w:pPr>
        <w:numPr>
          <w:ilvl w:val="1"/>
          <w:numId w:val="13"/>
        </w:numPr>
        <w:adjustRightInd/>
        <w:spacing w:line="240" w:lineRule="auto"/>
        <w:rPr>
          <w:rFonts w:ascii="宋体" w:hAnsi="Times New Roman"/>
          <w:szCs w:val="24"/>
        </w:rPr>
      </w:pPr>
      <w:r>
        <w:rPr>
          <w:rFonts w:hint="eastAsia" w:ascii="宋体" w:hAnsi="Times New Roman"/>
          <w:szCs w:val="24"/>
        </w:rPr>
        <w:t>对领域、群体、区域具有较高覆盖度，直接影响政治安全的重要数据；</w:t>
      </w:r>
    </w:p>
    <w:p>
      <w:pPr>
        <w:numPr>
          <w:ilvl w:val="1"/>
          <w:numId w:val="13"/>
        </w:numPr>
        <w:adjustRightInd/>
        <w:spacing w:line="240" w:lineRule="auto"/>
        <w:rPr>
          <w:rFonts w:ascii="宋体" w:hAnsi="Times New Roman"/>
          <w:szCs w:val="24"/>
        </w:rPr>
      </w:pPr>
      <w:r>
        <w:rPr>
          <w:rFonts w:hint="eastAsia" w:ascii="宋体" w:hAnsi="Times New Roman"/>
          <w:szCs w:val="24"/>
        </w:rPr>
        <w:t>达到较高精度、较大规模、较高重要性或深度，直接影响政治安全的重要数据；</w:t>
      </w:r>
    </w:p>
    <w:p>
      <w:pPr>
        <w:numPr>
          <w:ilvl w:val="1"/>
          <w:numId w:val="13"/>
        </w:numPr>
        <w:adjustRightInd/>
        <w:spacing w:line="240" w:lineRule="auto"/>
        <w:rPr>
          <w:rFonts w:ascii="宋体" w:hAnsi="Times New Roman"/>
          <w:szCs w:val="24"/>
        </w:rPr>
      </w:pPr>
      <w:r>
        <w:rPr>
          <w:rFonts w:hint="eastAsia" w:ascii="宋体" w:hAnsi="Times New Roman"/>
          <w:szCs w:val="24"/>
        </w:rPr>
        <w:t>经有关部门评估确定的核心数据。</w:t>
      </w:r>
    </w:p>
    <w:p>
      <w:pPr>
        <w:numPr>
          <w:ilvl w:val="0"/>
          <w:numId w:val="13"/>
        </w:numPr>
        <w:adjustRightInd/>
        <w:spacing w:line="240" w:lineRule="auto"/>
        <w:rPr>
          <w:rFonts w:ascii="宋体" w:hAnsi="Times New Roman"/>
          <w:szCs w:val="24"/>
        </w:rPr>
      </w:pPr>
      <w:r>
        <w:rPr>
          <w:rFonts w:hint="eastAsia" w:ascii="宋体" w:hAnsi="Times New Roman"/>
          <w:szCs w:val="24"/>
        </w:rPr>
        <w:t>满足以下任一条件的数据，识别为重要数据。</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数据一旦遭到泄露、篡改、损毁或者非法获取、非法使用、非法共享，直接对国家安全造成一般危害；</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数据一旦遭到泄露、篡改、损毁或者非法获取、非法使用、非法共享，直接对经济运行造成严重危害；</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数据一旦遭到泄露、篡改、损毁或者非法获取、非法使用、非法共享，直接对社会秩序造成严重危害（如影响社会稳定）；</w:t>
      </w:r>
    </w:p>
    <w:p>
      <w:pPr>
        <w:numPr>
          <w:ilvl w:val="1"/>
          <w:numId w:val="13"/>
        </w:numPr>
        <w:adjustRightInd/>
        <w:spacing w:line="240" w:lineRule="auto"/>
        <w:rPr>
          <w:rFonts w:ascii="宋体" w:hAnsi="Times New Roman"/>
          <w:szCs w:val="24"/>
        </w:rPr>
      </w:pPr>
      <w:r>
        <w:rPr>
          <w:rFonts w:hint="eastAsia" w:ascii="宋体" w:hAnsi="Times New Roman"/>
          <w:szCs w:val="24"/>
        </w:rPr>
        <w:t>数据一旦遭到泄露、篡改、损毁或者非法获取、非法使用、非法共享，直接对公共利益造成严重危害（如危害公共健康和安全）；</w:t>
      </w:r>
    </w:p>
    <w:p>
      <w:pPr>
        <w:numPr>
          <w:ilvl w:val="1"/>
          <w:numId w:val="13"/>
        </w:numPr>
        <w:adjustRightInd/>
        <w:spacing w:line="240" w:lineRule="auto"/>
        <w:rPr>
          <w:rFonts w:ascii="宋体" w:hAnsi="Times New Roman"/>
          <w:szCs w:val="24"/>
        </w:rPr>
      </w:pPr>
      <w:r>
        <w:rPr>
          <w:rFonts w:hint="eastAsia" w:ascii="宋体" w:hAnsi="Times New Roman"/>
          <w:szCs w:val="24"/>
        </w:rPr>
        <w:t>数据直接关系国家安全、经济运行、社会稳定、公共健康和安全的特定领域、特定群体或特定区域；</w:t>
      </w:r>
    </w:p>
    <w:p>
      <w:pPr>
        <w:numPr>
          <w:ilvl w:val="1"/>
          <w:numId w:val="13"/>
        </w:numPr>
        <w:adjustRightInd/>
        <w:spacing w:line="240" w:lineRule="auto"/>
        <w:rPr>
          <w:rFonts w:ascii="宋体" w:hAnsi="Times New Roman"/>
          <w:szCs w:val="24"/>
        </w:rPr>
      </w:pPr>
      <w:r>
        <w:rPr>
          <w:rFonts w:hint="eastAsia" w:ascii="宋体" w:hAnsi="Times New Roman"/>
          <w:szCs w:val="24"/>
        </w:rPr>
        <w:t>数据达到一定精度、规模、深度或重要性，直接影响国家安全、经济运行、社会稳定、公共健康和安全；</w:t>
      </w:r>
    </w:p>
    <w:p>
      <w:pPr>
        <w:numPr>
          <w:ilvl w:val="1"/>
          <w:numId w:val="13"/>
        </w:numPr>
        <w:adjustRightInd/>
        <w:spacing w:line="240" w:lineRule="auto"/>
        <w:rPr>
          <w:rFonts w:ascii="宋体" w:hAnsi="Times New Roman"/>
          <w:szCs w:val="24"/>
        </w:rPr>
      </w:pPr>
      <w:r>
        <w:rPr>
          <w:rFonts w:hint="eastAsia" w:ascii="宋体" w:hAnsi="Times New Roman"/>
          <w:szCs w:val="24"/>
        </w:rPr>
        <w:t>经行业领域主管（监管）部门评估确定的重要数据。</w:t>
      </w:r>
    </w:p>
    <w:p>
      <w:pPr>
        <w:numPr>
          <w:ilvl w:val="0"/>
          <w:numId w:val="13"/>
        </w:numPr>
        <w:adjustRightInd/>
        <w:spacing w:line="240" w:lineRule="auto"/>
        <w:rPr>
          <w:rFonts w:ascii="宋体" w:hAnsi="Times New Roman"/>
          <w:szCs w:val="24"/>
        </w:rPr>
      </w:pPr>
      <w:r>
        <w:rPr>
          <w:rFonts w:hint="eastAsia" w:ascii="宋体" w:hAnsi="Times New Roman"/>
          <w:szCs w:val="24"/>
        </w:rPr>
        <w:t>未识别为核心数据、重要数据的其他数据，为一般数据。一般数据分为4个级别。</w:t>
      </w:r>
    </w:p>
    <w:p>
      <w:pPr>
        <w:numPr>
          <w:ilvl w:val="1"/>
          <w:numId w:val="13"/>
        </w:numPr>
        <w:adjustRightInd/>
        <w:spacing w:line="240" w:lineRule="auto"/>
        <w:rPr>
          <w:rFonts w:ascii="宋体" w:hAnsi="Times New Roman"/>
          <w:szCs w:val="24"/>
        </w:rPr>
      </w:pPr>
      <w:r>
        <w:rPr>
          <w:rFonts w:hint="eastAsia" w:ascii="宋体" w:hAnsi="Times New Roman"/>
          <w:szCs w:val="24"/>
        </w:rPr>
        <w:t>一般数据1级：对国家安全、经济运行、社会秩序、公共利益、组织权益、个人权益均无危害；</w:t>
      </w:r>
    </w:p>
    <w:p>
      <w:pPr>
        <w:numPr>
          <w:ilvl w:val="1"/>
          <w:numId w:val="13"/>
        </w:numPr>
        <w:adjustRightInd/>
        <w:spacing w:line="240" w:lineRule="auto"/>
        <w:rPr>
          <w:rFonts w:ascii="宋体" w:hAnsi="Times New Roman"/>
          <w:szCs w:val="24"/>
        </w:rPr>
      </w:pPr>
      <w:r>
        <w:rPr>
          <w:rFonts w:hint="eastAsia" w:ascii="宋体" w:hAnsi="Times New Roman"/>
          <w:szCs w:val="24"/>
        </w:rPr>
        <w:t>一般数据2级：对组织权益、个人权益有一般危害；</w:t>
      </w:r>
    </w:p>
    <w:p>
      <w:pPr>
        <w:numPr>
          <w:ilvl w:val="1"/>
          <w:numId w:val="13"/>
        </w:numPr>
        <w:adjustRightInd/>
        <w:spacing w:line="240" w:lineRule="auto"/>
        <w:rPr>
          <w:rFonts w:ascii="宋体" w:hAnsi="Times New Roman"/>
          <w:szCs w:val="24"/>
        </w:rPr>
      </w:pPr>
      <w:r>
        <w:rPr>
          <w:rFonts w:hint="eastAsia" w:ascii="宋体" w:hAnsi="Times New Roman"/>
          <w:szCs w:val="24"/>
        </w:rPr>
        <w:t>一般数据3级：对经济运行、社会秩序、公共利益有一般危害，对组织权益、个人权益有严重危害；</w:t>
      </w:r>
    </w:p>
    <w:p>
      <w:pPr>
        <w:numPr>
          <w:ilvl w:val="1"/>
          <w:numId w:val="13"/>
        </w:numPr>
        <w:adjustRightInd/>
        <w:spacing w:line="240" w:lineRule="auto"/>
        <w:rPr>
          <w:rFonts w:ascii="宋体" w:hAnsi="Times New Roman"/>
          <w:szCs w:val="24"/>
        </w:rPr>
      </w:pPr>
      <w:r>
        <w:rPr>
          <w:rFonts w:hint="eastAsia" w:ascii="宋体" w:hAnsi="Times New Roman"/>
          <w:szCs w:val="24"/>
        </w:rPr>
        <w:t>一般数据4级：对组织权益 、个人权益有特别严重危害。</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影响对象、影响程度与出版数据安全级别的对应关系见</w:t>
      </w:r>
      <w:r>
        <w:rPr>
          <w:rFonts w:ascii="宋体" w:hAnsi="Times New Roman"/>
          <w:szCs w:val="24"/>
        </w:rPr>
        <w:t>表</w:t>
      </w:r>
      <w:r>
        <w:rPr>
          <w:rFonts w:hint="eastAsia" w:ascii="宋体" w:hAnsi="Times New Roman"/>
          <w:szCs w:val="24"/>
        </w:rPr>
        <w:t>1。</w:t>
      </w:r>
    </w:p>
    <w:p>
      <w:pPr>
        <w:numPr>
          <w:ilvl w:val="0"/>
          <w:numId w:val="16"/>
        </w:numPr>
        <w:tabs>
          <w:tab w:val="left" w:pos="0"/>
        </w:tabs>
        <w:adjustRightInd/>
        <w:spacing w:before="120" w:beforeLines="50" w:after="120" w:afterLines="50" w:line="240" w:lineRule="auto"/>
        <w:jc w:val="center"/>
        <w:rPr>
          <w:rFonts w:ascii="黑体" w:hAnsi="Times New Roman" w:eastAsia="黑体"/>
          <w:szCs w:val="24"/>
        </w:rPr>
      </w:pPr>
      <w:r>
        <w:rPr>
          <w:rFonts w:hint="eastAsia" w:ascii="黑体" w:hAnsi="Times New Roman" w:eastAsia="黑体"/>
          <w:szCs w:val="24"/>
        </w:rPr>
        <w:t>影响对象、影响程度与出版数据级别确定规则表</w:t>
      </w:r>
    </w:p>
    <w:tbl>
      <w:tblPr>
        <w:tblStyle w:val="233"/>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1869"/>
        <w:gridCol w:w="1869"/>
        <w:gridCol w:w="1869"/>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Merge w:val="restart"/>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影响对象</w:t>
            </w:r>
          </w:p>
        </w:tc>
        <w:tc>
          <w:tcPr>
            <w:tcW w:w="7476" w:type="dxa"/>
            <w:gridSpan w:val="4"/>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影响程度和安全级别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Merge w:val="continue"/>
            <w:vAlign w:val="center"/>
          </w:tcPr>
          <w:p>
            <w:pPr>
              <w:widowControl/>
              <w:autoSpaceDE w:val="0"/>
              <w:autoSpaceDN w:val="0"/>
              <w:adjustRightInd/>
              <w:spacing w:line="240" w:lineRule="auto"/>
              <w:ind w:firstLine="360" w:firstLineChars="200"/>
              <w:jc w:val="center"/>
              <w:rPr>
                <w:rFonts w:ascii="宋体" w:hAnsi="Times New Roman"/>
                <w:kern w:val="0"/>
                <w:sz w:val="18"/>
                <w:szCs w:val="18"/>
              </w:rPr>
            </w:pPr>
          </w:p>
        </w:tc>
        <w:tc>
          <w:tcPr>
            <w:tcW w:w="1869"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特别严重危害</w:t>
            </w:r>
          </w:p>
        </w:tc>
        <w:tc>
          <w:tcPr>
            <w:tcW w:w="1869"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严重危害</w:t>
            </w:r>
          </w:p>
        </w:tc>
        <w:tc>
          <w:tcPr>
            <w:tcW w:w="1869"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一般危害</w:t>
            </w:r>
          </w:p>
        </w:tc>
        <w:tc>
          <w:tcPr>
            <w:tcW w:w="1869"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无危害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国家安全</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核心数据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核心数据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重要数据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经济运行</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核心数据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重要数据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一般数据3级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社会秩序</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核心数据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重要数据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一般数据3级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公共利益</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核心数据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重要数据</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一般数据3级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组织权益</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一般数据4级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一般数据3级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一般数据2级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68" w:type="dxa"/>
            <w:vAlign w:val="center"/>
          </w:tcPr>
          <w:p>
            <w:pPr>
              <w:widowControl/>
              <w:autoSpaceDE w:val="0"/>
              <w:autoSpaceDN w:val="0"/>
              <w:adjustRightInd/>
              <w:spacing w:line="240" w:lineRule="auto"/>
              <w:jc w:val="center"/>
              <w:rPr>
                <w:rFonts w:ascii="黑体" w:hAnsi="黑体" w:eastAsia="黑体"/>
                <w:kern w:val="0"/>
                <w:sz w:val="18"/>
                <w:szCs w:val="18"/>
              </w:rPr>
            </w:pPr>
            <w:r>
              <w:rPr>
                <w:rFonts w:hint="eastAsia" w:ascii="黑体" w:hAnsi="黑体" w:eastAsia="黑体"/>
                <w:kern w:val="0"/>
                <w:sz w:val="18"/>
                <w:szCs w:val="18"/>
              </w:rPr>
              <w:t>个人权益</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一般数据4级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一般数据3级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一般数据2级</w:t>
            </w:r>
          </w:p>
        </w:tc>
        <w:tc>
          <w:tcPr>
            <w:tcW w:w="1869" w:type="dxa"/>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一般数据1级</w:t>
            </w:r>
          </w:p>
        </w:tc>
      </w:tr>
    </w:tbl>
    <w:p>
      <w:pPr>
        <w:pStyle w:val="182"/>
        <w:rPr>
          <w:rStyle w:val="105"/>
          <w:vertAlign w:val="baseline"/>
        </w:rPr>
      </w:pPr>
      <w:r>
        <w:rPr>
          <w:rStyle w:val="105"/>
          <w:vertAlign w:val="baseline"/>
        </w:rPr>
        <w:t>如果影响大规模的个人或组织权益,影响对象可能不只包括个人权益或组织权益,也可能对国家安全、经济运行、社会秩序或公共利益造成影响。</w:t>
      </w:r>
    </w:p>
    <w:p>
      <w:pPr>
        <w:pStyle w:val="59"/>
        <w:ind w:firstLine="420"/>
      </w:pPr>
    </w:p>
    <w:p>
      <w:pPr>
        <w:pStyle w:val="107"/>
        <w:spacing w:before="240" w:after="240"/>
      </w:pPr>
      <w:bookmarkStart w:id="63" w:name="_Toc217290841"/>
      <w:bookmarkStart w:id="64" w:name="_Toc1412238687"/>
      <w:r>
        <w:rPr>
          <w:rFonts w:hint="eastAsia"/>
        </w:rPr>
        <w:t>分类分级实施流程</w:t>
      </w:r>
      <w:bookmarkEnd w:id="63"/>
      <w:bookmarkEnd w:id="64"/>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出版数据分类分级实施流程如图1所示，主要包含五大实施步骤。</w:t>
      </w:r>
    </w:p>
    <w:p>
      <w:pPr>
        <w:numPr>
          <w:ilvl w:val="0"/>
          <w:numId w:val="40"/>
        </w:numPr>
        <w:tabs>
          <w:tab w:val="left" w:pos="851"/>
        </w:tabs>
        <w:adjustRightInd/>
        <w:spacing w:line="240" w:lineRule="auto"/>
        <w:rPr>
          <w:rFonts w:ascii="宋体" w:hAnsi="Times New Roman"/>
          <w:szCs w:val="24"/>
        </w:rPr>
      </w:pPr>
      <w:r>
        <w:rPr>
          <w:rFonts w:hint="eastAsia" w:ascii="宋体" w:hAnsi="Times New Roman"/>
          <w:szCs w:val="24"/>
        </w:rPr>
        <w:t>数据梳理：宜采取跨部门合作的方式，对所有的出版数据资源进行系统全面梳理和审查，明确出版数据的基本信息以及与出版数据相关的各方责任和权益，形成数据资源清单，</w:t>
      </w:r>
      <w:r>
        <w:rPr>
          <w:rFonts w:ascii="宋体" w:hAnsi="Times New Roman"/>
          <w:szCs w:val="24"/>
        </w:rPr>
        <w:t>数据资源清单示例见附录</w:t>
      </w:r>
      <w:r>
        <w:rPr>
          <w:rFonts w:hint="eastAsia" w:ascii="宋体" w:hAnsi="Times New Roman"/>
          <w:szCs w:val="24"/>
        </w:rPr>
        <w:t>A。宜</w:t>
      </w:r>
      <w:r>
        <w:rPr>
          <w:rFonts w:ascii="宋体" w:hAnsi="Times New Roman"/>
          <w:szCs w:val="24"/>
        </w:rPr>
        <w:t>从</w:t>
      </w:r>
      <w:r>
        <w:rPr>
          <w:rFonts w:hint="eastAsia" w:ascii="宋体" w:hAnsi="Times New Roman"/>
          <w:szCs w:val="24"/>
        </w:rPr>
        <w:t>以下几个方面对</w:t>
      </w:r>
      <w:r>
        <w:rPr>
          <w:rFonts w:ascii="宋体" w:hAnsi="Times New Roman"/>
          <w:szCs w:val="24"/>
        </w:rPr>
        <w:t>出版数据进行梳理</w:t>
      </w:r>
      <w:r>
        <w:rPr>
          <w:rFonts w:hint="eastAsia" w:ascii="宋体" w:hAnsi="Times New Roman"/>
          <w:szCs w:val="24"/>
        </w:rPr>
        <w:t>。</w:t>
      </w:r>
    </w:p>
    <w:p>
      <w:pPr>
        <w:numPr>
          <w:ilvl w:val="1"/>
          <w:numId w:val="13"/>
        </w:numPr>
        <w:adjustRightInd/>
        <w:spacing w:line="240" w:lineRule="auto"/>
        <w:rPr>
          <w:rFonts w:ascii="宋体" w:hAnsi="Times New Roman"/>
          <w:szCs w:val="24"/>
        </w:rPr>
      </w:pPr>
      <w:r>
        <w:rPr>
          <w:rFonts w:hint="eastAsia" w:ascii="宋体" w:hAnsi="Times New Roman"/>
          <w:szCs w:val="24"/>
        </w:rPr>
        <w:t>出版数据的采集过程。</w:t>
      </w:r>
    </w:p>
    <w:p>
      <w:pPr>
        <w:numPr>
          <w:ilvl w:val="1"/>
          <w:numId w:val="13"/>
        </w:numPr>
        <w:adjustRightInd/>
        <w:spacing w:line="240" w:lineRule="auto"/>
        <w:rPr>
          <w:rFonts w:ascii="宋体" w:hAnsi="Times New Roman"/>
          <w:szCs w:val="24"/>
        </w:rPr>
      </w:pPr>
      <w:r>
        <w:rPr>
          <w:rFonts w:hint="eastAsia" w:ascii="宋体" w:hAnsi="Times New Roman"/>
          <w:szCs w:val="24"/>
        </w:rPr>
        <w:t>出版数据内容的详细描述。</w:t>
      </w:r>
    </w:p>
    <w:p>
      <w:pPr>
        <w:numPr>
          <w:ilvl w:val="1"/>
          <w:numId w:val="13"/>
        </w:numPr>
        <w:adjustRightInd/>
        <w:spacing w:line="240" w:lineRule="auto"/>
        <w:rPr>
          <w:rFonts w:ascii="宋体" w:hAnsi="Times New Roman"/>
          <w:szCs w:val="24"/>
        </w:rPr>
      </w:pPr>
      <w:r>
        <w:rPr>
          <w:rFonts w:hint="eastAsia" w:ascii="宋体" w:hAnsi="Times New Roman"/>
          <w:szCs w:val="24"/>
        </w:rPr>
        <w:t>出版数据的总量和规模。</w:t>
      </w:r>
    </w:p>
    <w:p>
      <w:pPr>
        <w:numPr>
          <w:ilvl w:val="1"/>
          <w:numId w:val="13"/>
        </w:numPr>
        <w:adjustRightInd/>
        <w:spacing w:line="240" w:lineRule="auto"/>
        <w:rPr>
          <w:rFonts w:ascii="宋体" w:hAnsi="Times New Roman"/>
          <w:szCs w:val="24"/>
        </w:rPr>
      </w:pPr>
      <w:r>
        <w:rPr>
          <w:rFonts w:hint="eastAsia" w:ascii="宋体" w:hAnsi="Times New Roman"/>
          <w:szCs w:val="24"/>
        </w:rPr>
        <w:t>出版数据的存储方式和位置。</w:t>
      </w:r>
    </w:p>
    <w:p>
      <w:pPr>
        <w:numPr>
          <w:ilvl w:val="1"/>
          <w:numId w:val="13"/>
        </w:numPr>
        <w:adjustRightInd/>
        <w:spacing w:line="240" w:lineRule="auto"/>
        <w:rPr>
          <w:rFonts w:ascii="宋体" w:hAnsi="Times New Roman"/>
          <w:szCs w:val="24"/>
        </w:rPr>
      </w:pPr>
      <w:r>
        <w:rPr>
          <w:rFonts w:hint="eastAsia" w:ascii="宋体" w:hAnsi="Times New Roman"/>
          <w:szCs w:val="24"/>
        </w:rPr>
        <w:t>出版数据处理的详细情况，包括出版数据的处理的目的、出版数据处理过程中所使用的各种信息系统等。</w:t>
      </w:r>
    </w:p>
    <w:p>
      <w:pPr>
        <w:numPr>
          <w:ilvl w:val="1"/>
          <w:numId w:val="13"/>
        </w:numPr>
        <w:adjustRightInd/>
        <w:spacing w:line="240" w:lineRule="auto"/>
        <w:rPr>
          <w:rFonts w:ascii="宋体" w:hAnsi="Times New Roman"/>
          <w:szCs w:val="24"/>
        </w:rPr>
      </w:pPr>
      <w:r>
        <w:rPr>
          <w:rFonts w:hint="eastAsia" w:ascii="宋体" w:hAnsi="Times New Roman"/>
          <w:szCs w:val="24"/>
        </w:rPr>
        <w:t>出版数据的交换情况，涉及出版数据的共享发布、公开披露等。</w:t>
      </w:r>
    </w:p>
    <w:p>
      <w:pPr>
        <w:numPr>
          <w:ilvl w:val="0"/>
          <w:numId w:val="13"/>
        </w:numPr>
        <w:adjustRightInd/>
        <w:spacing w:line="240" w:lineRule="auto"/>
        <w:rPr>
          <w:rFonts w:ascii="宋体" w:hAnsi="Times New Roman"/>
          <w:szCs w:val="24"/>
        </w:rPr>
      </w:pPr>
      <w:r>
        <w:rPr>
          <w:rFonts w:hint="eastAsia" w:ascii="宋体" w:hAnsi="Times New Roman"/>
          <w:szCs w:val="24"/>
        </w:rPr>
        <w:t>数据分类：按照第5章</w:t>
      </w:r>
      <w:r>
        <w:rPr>
          <w:rFonts w:ascii="宋体" w:hAnsi="Times New Roman"/>
          <w:szCs w:val="24"/>
        </w:rPr>
        <w:t>的</w:t>
      </w:r>
      <w:r>
        <w:rPr>
          <w:rFonts w:hint="eastAsia" w:ascii="宋体" w:hAnsi="Times New Roman"/>
          <w:szCs w:val="24"/>
        </w:rPr>
        <w:t>方法对出版数据进行分类。</w:t>
      </w:r>
    </w:p>
    <w:p>
      <w:pPr>
        <w:numPr>
          <w:ilvl w:val="0"/>
          <w:numId w:val="13"/>
        </w:numPr>
        <w:adjustRightInd/>
        <w:spacing w:line="240" w:lineRule="auto"/>
        <w:rPr>
          <w:rFonts w:ascii="宋体" w:hAnsi="Times New Roman"/>
          <w:szCs w:val="24"/>
        </w:rPr>
      </w:pPr>
      <w:r>
        <w:rPr>
          <w:rFonts w:hint="eastAsia" w:ascii="宋体" w:hAnsi="Times New Roman"/>
          <w:szCs w:val="24"/>
        </w:rPr>
        <w:t>分级准备：确定分级对象。为保证个人信息安全，在数据分级前对生物识别信息、宗教信仰信息、医疗健康信息、金融账户个人信息、行踪轨迹信息等敏感信息进行清洗脱敏。</w:t>
      </w:r>
    </w:p>
    <w:p>
      <w:pPr>
        <w:numPr>
          <w:ilvl w:val="0"/>
          <w:numId w:val="13"/>
        </w:numPr>
        <w:adjustRightInd/>
        <w:spacing w:line="240" w:lineRule="auto"/>
        <w:rPr>
          <w:rFonts w:ascii="宋体" w:hAnsi="Times New Roman"/>
          <w:szCs w:val="24"/>
        </w:rPr>
      </w:pPr>
      <w:r>
        <w:rPr>
          <w:rFonts w:hint="eastAsia" w:ascii="宋体" w:hAnsi="Times New Roman"/>
          <w:szCs w:val="24"/>
        </w:rPr>
        <w:t>数据定级：按照6.3、6.4、6.5的方法对数据进行定级。</w:t>
      </w:r>
    </w:p>
    <w:p>
      <w:pPr>
        <w:pStyle w:val="177"/>
        <w:numPr>
          <w:ilvl w:val="0"/>
          <w:numId w:val="13"/>
        </w:numPr>
        <w:rPr>
          <w:szCs w:val="24"/>
        </w:rPr>
      </w:pPr>
      <w:r>
        <w:rPr>
          <w:rFonts w:hint="eastAsia"/>
          <w:szCs w:val="24"/>
        </w:rPr>
        <w:t>审核实施：判断出版数据的级别后，综合考虑出版数据的规模、时效性、形态等因素，对出版数据分类分级结果进行复核。审核出版数据级别评定的过程和结果，最终实施出版数据分级结果，</w:t>
      </w:r>
      <w:r>
        <w:rPr>
          <w:rFonts w:hint="eastAsia"/>
          <w:kern w:val="2"/>
          <w:szCs w:val="24"/>
        </w:rPr>
        <w:t>形成出版数据分类分级清单。</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出版数据定级后，由于时间积累、规模累计或其他动态变化，出现下列情形之一时，重新定级是十分必要的。出版</w:t>
      </w:r>
      <w:r>
        <w:rPr>
          <w:rFonts w:ascii="宋体" w:hAnsi="Times New Roman"/>
          <w:szCs w:val="24"/>
        </w:rPr>
        <w:t>数据重新</w:t>
      </w:r>
      <w:r>
        <w:rPr>
          <w:rFonts w:hint="eastAsia" w:ascii="宋体" w:hAnsi="Times New Roman"/>
          <w:szCs w:val="24"/>
        </w:rPr>
        <w:t>定级</w:t>
      </w:r>
      <w:r>
        <w:rPr>
          <w:rFonts w:ascii="宋体" w:hAnsi="Times New Roman"/>
          <w:szCs w:val="24"/>
        </w:rPr>
        <w:t>后，应</w:t>
      </w:r>
      <w:r>
        <w:rPr>
          <w:rFonts w:hint="eastAsia" w:ascii="宋体" w:hAnsi="Times New Roman"/>
          <w:szCs w:val="24"/>
        </w:rPr>
        <w:t>同步</w:t>
      </w:r>
      <w:r>
        <w:rPr>
          <w:rFonts w:ascii="宋体" w:hAnsi="Times New Roman"/>
          <w:szCs w:val="24"/>
        </w:rPr>
        <w:t>修改</w:t>
      </w:r>
      <w:r>
        <w:rPr>
          <w:rFonts w:hint="eastAsia" w:ascii="宋体" w:hAnsi="Times New Roman"/>
          <w:szCs w:val="24"/>
        </w:rPr>
        <w:t>出版数据分类分级清单。</w:t>
      </w:r>
    </w:p>
    <w:p>
      <w:pPr>
        <w:pStyle w:val="177"/>
        <w:numPr>
          <w:ilvl w:val="0"/>
          <w:numId w:val="41"/>
        </w:numPr>
        <w:ind w:left="1276"/>
        <w:rPr>
          <w:szCs w:val="24"/>
        </w:rPr>
      </w:pPr>
      <w:r>
        <w:rPr>
          <w:rFonts w:hint="eastAsia"/>
          <w:szCs w:val="24"/>
        </w:rPr>
        <w:t>出版数据内容发生变化，导致原有出版数据的安全级别不再适用。</w:t>
      </w:r>
    </w:p>
    <w:p>
      <w:pPr>
        <w:pStyle w:val="177"/>
        <w:numPr>
          <w:ilvl w:val="0"/>
          <w:numId w:val="41"/>
        </w:numPr>
        <w:ind w:left="1276"/>
        <w:rPr>
          <w:szCs w:val="24"/>
        </w:rPr>
      </w:pPr>
      <w:r>
        <w:rPr>
          <w:rFonts w:hint="eastAsia"/>
          <w:szCs w:val="24"/>
        </w:rPr>
        <w:t>出版数据内容未发生变化，但数据时效性、数据规模、数据应用场景、数据加工处理方式等发生变化。</w:t>
      </w:r>
    </w:p>
    <w:p>
      <w:pPr>
        <w:pStyle w:val="177"/>
        <w:numPr>
          <w:ilvl w:val="0"/>
          <w:numId w:val="41"/>
        </w:numPr>
        <w:ind w:left="1276"/>
        <w:rPr>
          <w:szCs w:val="24"/>
        </w:rPr>
      </w:pPr>
      <w:r>
        <w:rPr>
          <w:rFonts w:hint="eastAsia"/>
          <w:szCs w:val="24"/>
        </w:rPr>
        <w:t>多个原始数据直接合并，导致原有的安全级别不再适用合并后的出版数据。</w:t>
      </w:r>
    </w:p>
    <w:p>
      <w:pPr>
        <w:pStyle w:val="177"/>
        <w:numPr>
          <w:ilvl w:val="0"/>
          <w:numId w:val="41"/>
        </w:numPr>
        <w:ind w:left="1276"/>
        <w:rPr>
          <w:szCs w:val="24"/>
        </w:rPr>
      </w:pPr>
      <w:r>
        <w:rPr>
          <w:rFonts w:hint="eastAsia"/>
          <w:szCs w:val="24"/>
        </w:rPr>
        <w:t>因对不同数据选取部分数据进行合并形成的新数据，导致原有出版数据的安全级别不再适用合并后的数据。</w:t>
      </w:r>
    </w:p>
    <w:p>
      <w:pPr>
        <w:pStyle w:val="177"/>
        <w:numPr>
          <w:ilvl w:val="0"/>
          <w:numId w:val="41"/>
        </w:numPr>
        <w:ind w:left="1276"/>
        <w:rPr>
          <w:szCs w:val="24"/>
        </w:rPr>
      </w:pPr>
      <w:r>
        <w:rPr>
          <w:rFonts w:hint="eastAsia"/>
          <w:szCs w:val="24"/>
        </w:rPr>
        <w:t>不同数据类型经汇聚融合形成新的数据类别，导致原有的出版数据级别不再适用于汇聚融合后的出版数据。</w:t>
      </w:r>
    </w:p>
    <w:p>
      <w:pPr>
        <w:pStyle w:val="177"/>
        <w:numPr>
          <w:ilvl w:val="0"/>
          <w:numId w:val="41"/>
        </w:numPr>
        <w:ind w:left="1276"/>
        <w:rPr>
          <w:szCs w:val="24"/>
        </w:rPr>
      </w:pPr>
      <w:r>
        <w:rPr>
          <w:rFonts w:hint="eastAsia"/>
          <w:szCs w:val="24"/>
        </w:rPr>
        <w:t>因国家或行业主管部门要求，导致原定的出版数据级别不再适用。</w:t>
      </w:r>
    </w:p>
    <w:p>
      <w:pPr>
        <w:pStyle w:val="177"/>
        <w:numPr>
          <w:ilvl w:val="0"/>
          <w:numId w:val="41"/>
        </w:numPr>
        <w:ind w:left="1276"/>
        <w:rPr>
          <w:szCs w:val="24"/>
        </w:rPr>
      </w:pPr>
      <w:r>
        <w:rPr>
          <w:rFonts w:hint="eastAsia"/>
          <w:szCs w:val="24"/>
        </w:rPr>
        <w:t>需要对出版数据安全级别进行变更的其他情形。</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数据情况发生变化重新定级的示例见表2。</w:t>
      </w:r>
    </w:p>
    <w:p>
      <w:pPr>
        <w:autoSpaceDE w:val="0"/>
        <w:autoSpaceDN w:val="0"/>
        <w:adjustRightInd/>
        <w:spacing w:line="240" w:lineRule="auto"/>
        <w:ind w:firstLine="420" w:firstLineChars="200"/>
        <w:rPr>
          <w:rFonts w:ascii="宋体" w:hAnsi="Times New Roman"/>
          <w:szCs w:val="24"/>
        </w:rPr>
      </w:pPr>
    </w:p>
    <w:p>
      <w:pPr>
        <w:autoSpaceDE w:val="0"/>
        <w:autoSpaceDN w:val="0"/>
        <w:adjustRightInd/>
        <w:spacing w:line="240" w:lineRule="auto"/>
        <w:ind w:firstLine="420" w:firstLineChars="200"/>
        <w:jc w:val="center"/>
        <w:rPr>
          <w:rFonts w:ascii="黑体" w:hAnsi="Times New Roman" w:eastAsia="黑体"/>
          <w:szCs w:val="24"/>
        </w:rPr>
      </w:pPr>
      <w:r>
        <w:rPr>
          <w:rFonts w:hint="eastAsia" w:ascii="黑体" w:hAnsi="Times New Roman" w:eastAsia="黑体"/>
          <w:szCs w:val="24"/>
        </w:rPr>
        <w:t>表2 数据情况发生变化重新定级示例</w:t>
      </w:r>
    </w:p>
    <w:tbl>
      <w:tblPr>
        <w:tblStyle w:val="35"/>
        <w:tblW w:w="7730" w:type="dxa"/>
        <w:jc w:val="center"/>
        <w:tblInd w:w="0" w:type="dxa"/>
        <w:tblLayout w:type="fixed"/>
        <w:tblCellMar>
          <w:top w:w="0" w:type="dxa"/>
          <w:left w:w="108" w:type="dxa"/>
          <w:bottom w:w="0" w:type="dxa"/>
          <w:right w:w="108" w:type="dxa"/>
        </w:tblCellMar>
      </w:tblPr>
      <w:tblGrid>
        <w:gridCol w:w="6174"/>
        <w:gridCol w:w="1556"/>
      </w:tblGrid>
      <w:tr>
        <w:tblPrEx>
          <w:tblLayout w:type="fixed"/>
          <w:tblCellMar>
            <w:top w:w="0" w:type="dxa"/>
            <w:left w:w="108" w:type="dxa"/>
            <w:bottom w:w="0" w:type="dxa"/>
            <w:right w:w="108" w:type="dxa"/>
          </w:tblCellMar>
        </w:tblPrEx>
        <w:trPr>
          <w:trHeight w:val="284" w:hRule="exact"/>
          <w:jc w:val="center"/>
        </w:trPr>
        <w:tc>
          <w:tcPr>
            <w:tcW w:w="617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center"/>
              <w:rPr>
                <w:rFonts w:ascii="黑体" w:hAnsi="黑体" w:eastAsia="黑体" w:cs="黑体"/>
                <w:bCs/>
                <w:snapToGrid w:val="0"/>
                <w:kern w:val="0"/>
                <w:sz w:val="18"/>
                <w:szCs w:val="18"/>
              </w:rPr>
            </w:pPr>
            <w:r>
              <w:rPr>
                <w:rFonts w:hint="eastAsia" w:ascii="黑体" w:hAnsi="黑体" w:eastAsia="黑体" w:cs="黑体"/>
                <w:bCs/>
                <w:snapToGrid w:val="0"/>
                <w:kern w:val="0"/>
                <w:sz w:val="18"/>
                <w:szCs w:val="18"/>
                <w:lang w:bidi="ar"/>
              </w:rPr>
              <w:t>情形</w:t>
            </w:r>
          </w:p>
        </w:tc>
        <w:tc>
          <w:tcPr>
            <w:tcW w:w="1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center"/>
              <w:rPr>
                <w:rFonts w:ascii="黑体" w:hAnsi="黑体" w:eastAsia="黑体" w:cs="黑体"/>
                <w:bCs/>
                <w:snapToGrid w:val="0"/>
                <w:kern w:val="0"/>
                <w:sz w:val="18"/>
                <w:szCs w:val="18"/>
                <w:lang w:bidi="ar"/>
              </w:rPr>
            </w:pPr>
            <w:r>
              <w:rPr>
                <w:rFonts w:hint="eastAsia" w:ascii="黑体" w:hAnsi="黑体" w:eastAsia="黑体" w:cs="黑体"/>
                <w:bCs/>
                <w:snapToGrid w:val="0"/>
                <w:kern w:val="0"/>
                <w:sz w:val="18"/>
                <w:szCs w:val="18"/>
                <w:lang w:bidi="ar"/>
              </w:rPr>
              <w:t>安全级别变化</w:t>
            </w:r>
          </w:p>
        </w:tc>
      </w:tr>
      <w:tr>
        <w:tblPrEx>
          <w:tblLayout w:type="fixed"/>
          <w:tblCellMar>
            <w:top w:w="0" w:type="dxa"/>
            <w:left w:w="108" w:type="dxa"/>
            <w:bottom w:w="0" w:type="dxa"/>
            <w:right w:w="108" w:type="dxa"/>
          </w:tblCellMar>
        </w:tblPrEx>
        <w:trPr>
          <w:trHeight w:val="284" w:hRule="exact"/>
          <w:jc w:val="center"/>
        </w:trPr>
        <w:tc>
          <w:tcPr>
            <w:tcW w:w="617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r>
              <w:rPr>
                <w:rFonts w:ascii="宋体" w:hAnsi="宋体"/>
                <w:snapToGrid w:val="0"/>
                <w:kern w:val="0"/>
                <w:sz w:val="18"/>
                <w:szCs w:val="18"/>
              </w:rPr>
              <w:t>因</w:t>
            </w:r>
            <w:r>
              <w:rPr>
                <w:rFonts w:hint="eastAsia" w:ascii="宋体" w:hAnsi="宋体"/>
                <w:snapToGrid w:val="0"/>
                <w:kern w:val="0"/>
                <w:sz w:val="18"/>
                <w:szCs w:val="18"/>
              </w:rPr>
              <w:t>法律或管理要求</w:t>
            </w:r>
            <w:r>
              <w:rPr>
                <w:rFonts w:ascii="宋体" w:hAnsi="宋体"/>
                <w:snapToGrid w:val="0"/>
                <w:kern w:val="0"/>
                <w:sz w:val="18"/>
                <w:szCs w:val="18"/>
              </w:rPr>
              <w:t>，导致原定的</w:t>
            </w:r>
            <w:r>
              <w:rPr>
                <w:rFonts w:hint="eastAsia" w:ascii="宋体" w:hAnsi="宋体"/>
                <w:snapToGrid w:val="0"/>
                <w:kern w:val="0"/>
                <w:sz w:val="18"/>
                <w:szCs w:val="18"/>
              </w:rPr>
              <w:t>数据重要度、内容敏感度发生变化</w:t>
            </w:r>
          </w:p>
        </w:tc>
        <w:tc>
          <w:tcPr>
            <w:tcW w:w="1556" w:type="dxa"/>
            <w:vMerge w:val="restart"/>
            <w:tcBorders>
              <w:top w:val="single" w:color="auto" w:sz="4" w:space="0"/>
              <w:left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snapToGrid w:val="0"/>
                <w:kern w:val="0"/>
                <w:sz w:val="18"/>
                <w:szCs w:val="18"/>
              </w:rPr>
            </w:pPr>
            <w:r>
              <w:rPr>
                <w:rFonts w:hint="eastAsia" w:ascii="宋体" w:hAnsi="宋体"/>
                <w:snapToGrid w:val="0"/>
                <w:kern w:val="0"/>
                <w:sz w:val="18"/>
                <w:szCs w:val="18"/>
              </w:rPr>
              <w:t>重新定级</w:t>
            </w:r>
          </w:p>
        </w:tc>
      </w:tr>
      <w:tr>
        <w:tblPrEx>
          <w:tblLayout w:type="fixed"/>
          <w:tblCellMar>
            <w:top w:w="0" w:type="dxa"/>
            <w:left w:w="108" w:type="dxa"/>
            <w:bottom w:w="0" w:type="dxa"/>
            <w:right w:w="108" w:type="dxa"/>
          </w:tblCellMar>
        </w:tblPrEx>
        <w:trPr>
          <w:trHeight w:val="284" w:hRule="exact"/>
          <w:jc w:val="center"/>
        </w:trPr>
        <w:tc>
          <w:tcPr>
            <w:tcW w:w="617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r>
              <w:rPr>
                <w:rFonts w:ascii="宋体" w:hAnsi="宋体"/>
                <w:snapToGrid w:val="0"/>
                <w:kern w:val="0"/>
                <w:sz w:val="18"/>
                <w:szCs w:val="18"/>
              </w:rPr>
              <w:t>因</w:t>
            </w:r>
            <w:r>
              <w:rPr>
                <w:rFonts w:hint="eastAsia" w:ascii="宋体" w:hAnsi="宋体"/>
                <w:snapToGrid w:val="0"/>
                <w:kern w:val="0"/>
                <w:sz w:val="18"/>
                <w:szCs w:val="18"/>
              </w:rPr>
              <w:t>法律或管理要求</w:t>
            </w:r>
            <w:r>
              <w:rPr>
                <w:rFonts w:ascii="宋体" w:hAnsi="宋体"/>
                <w:snapToGrid w:val="0"/>
                <w:kern w:val="0"/>
                <w:sz w:val="18"/>
                <w:szCs w:val="18"/>
              </w:rPr>
              <w:t>，导致</w:t>
            </w:r>
            <w:r>
              <w:rPr>
                <w:rFonts w:hint="eastAsia" w:ascii="宋体" w:hAnsi="宋体" w:cs="仿宋_GB2312"/>
                <w:snapToGrid w:val="0"/>
                <w:kern w:val="0"/>
                <w:sz w:val="18"/>
                <w:szCs w:val="18"/>
              </w:rPr>
              <w:t>传播度发生变化</w:t>
            </w:r>
          </w:p>
        </w:tc>
        <w:tc>
          <w:tcPr>
            <w:tcW w:w="1556" w:type="dxa"/>
            <w:vMerge w:val="continue"/>
            <w:tcBorders>
              <w:left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snapToGrid w:val="0"/>
                <w:kern w:val="0"/>
                <w:sz w:val="18"/>
                <w:szCs w:val="18"/>
              </w:rPr>
            </w:pPr>
          </w:p>
        </w:tc>
      </w:tr>
      <w:tr>
        <w:tblPrEx>
          <w:tblLayout w:type="fixed"/>
          <w:tblCellMar>
            <w:top w:w="0" w:type="dxa"/>
            <w:left w:w="108" w:type="dxa"/>
            <w:bottom w:w="0" w:type="dxa"/>
            <w:right w:w="108" w:type="dxa"/>
          </w:tblCellMar>
        </w:tblPrEx>
        <w:trPr>
          <w:trHeight w:val="284" w:hRule="exact"/>
          <w:jc w:val="center"/>
        </w:trPr>
        <w:tc>
          <w:tcPr>
            <w:tcW w:w="617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r>
              <w:rPr>
                <w:rFonts w:hint="eastAsia" w:ascii="宋体" w:hAnsi="宋体" w:cs="仿宋_GB2312"/>
                <w:snapToGrid w:val="0"/>
                <w:kern w:val="0"/>
                <w:sz w:val="18"/>
                <w:szCs w:val="18"/>
              </w:rPr>
              <w:t>数据进行脱敏或删除关键字段</w:t>
            </w:r>
          </w:p>
        </w:tc>
        <w:tc>
          <w:tcPr>
            <w:tcW w:w="1556" w:type="dxa"/>
            <w:vMerge w:val="continue"/>
            <w:tcBorders>
              <w:left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p>
        </w:tc>
      </w:tr>
      <w:tr>
        <w:tblPrEx>
          <w:tblLayout w:type="fixed"/>
          <w:tblCellMar>
            <w:top w:w="0" w:type="dxa"/>
            <w:left w:w="108" w:type="dxa"/>
            <w:bottom w:w="0" w:type="dxa"/>
            <w:right w:w="108" w:type="dxa"/>
          </w:tblCellMar>
        </w:tblPrEx>
        <w:trPr>
          <w:trHeight w:val="284" w:hRule="exact"/>
          <w:jc w:val="center"/>
        </w:trPr>
        <w:tc>
          <w:tcPr>
            <w:tcW w:w="617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r>
              <w:rPr>
                <w:rFonts w:hint="eastAsia" w:ascii="宋体" w:hAnsi="宋体" w:cs="仿宋_GB2312"/>
                <w:snapToGrid w:val="0"/>
                <w:kern w:val="0"/>
                <w:sz w:val="18"/>
                <w:szCs w:val="18"/>
              </w:rPr>
              <w:t>数据进行去标识化、假名化、匿名化</w:t>
            </w:r>
          </w:p>
        </w:tc>
        <w:tc>
          <w:tcPr>
            <w:tcW w:w="1556" w:type="dxa"/>
            <w:vMerge w:val="continue"/>
            <w:tcBorders>
              <w:left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p>
        </w:tc>
      </w:tr>
      <w:tr>
        <w:tblPrEx>
          <w:tblLayout w:type="fixed"/>
          <w:tblCellMar>
            <w:top w:w="0" w:type="dxa"/>
            <w:left w:w="108" w:type="dxa"/>
            <w:bottom w:w="0" w:type="dxa"/>
            <w:right w:w="108" w:type="dxa"/>
          </w:tblCellMar>
        </w:tblPrEx>
        <w:trPr>
          <w:trHeight w:val="284" w:hRule="exact"/>
          <w:jc w:val="center"/>
        </w:trPr>
        <w:tc>
          <w:tcPr>
            <w:tcW w:w="617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r>
              <w:rPr>
                <w:rFonts w:hint="eastAsia" w:ascii="宋体" w:hAnsi="宋体" w:cs="仿宋_GB2312"/>
                <w:snapToGrid w:val="0"/>
                <w:kern w:val="0"/>
                <w:sz w:val="18"/>
                <w:szCs w:val="18"/>
              </w:rPr>
              <w:t>其他</w:t>
            </w:r>
          </w:p>
        </w:tc>
        <w:tc>
          <w:tcPr>
            <w:tcW w:w="1556" w:type="dxa"/>
            <w:vMerge w:val="continue"/>
            <w:tcBorders>
              <w:left w:val="single" w:color="auto" w:sz="4" w:space="0"/>
              <w:bottom w:val="single" w:color="auto" w:sz="4" w:space="0"/>
              <w:right w:val="single" w:color="auto" w:sz="4" w:space="0"/>
            </w:tcBorders>
            <w:shd w:val="clear" w:color="auto" w:fill="FFFFFF"/>
            <w:vAlign w:val="center"/>
          </w:tcPr>
          <w:p>
            <w:pPr>
              <w:widowControl/>
              <w:kinsoku w:val="0"/>
              <w:autoSpaceDE w:val="0"/>
              <w:autoSpaceDN w:val="0"/>
              <w:snapToGrid w:val="0"/>
              <w:spacing w:line="240" w:lineRule="auto"/>
              <w:jc w:val="center"/>
              <w:textAlignment w:val="baseline"/>
              <w:rPr>
                <w:rFonts w:ascii="宋体" w:hAnsi="宋体" w:cs="仿宋_GB2312"/>
                <w:snapToGrid w:val="0"/>
                <w:kern w:val="0"/>
                <w:sz w:val="18"/>
                <w:szCs w:val="18"/>
              </w:rPr>
            </w:pPr>
          </w:p>
        </w:tc>
      </w:tr>
    </w:tbl>
    <w:p>
      <w:pPr>
        <w:autoSpaceDE w:val="0"/>
        <w:autoSpaceDN w:val="0"/>
        <w:adjustRightInd/>
        <w:spacing w:line="240" w:lineRule="auto"/>
        <w:rPr>
          <w:rFonts w:ascii="宋体" w:hAnsi="Times New Roman"/>
          <w:szCs w:val="24"/>
        </w:rPr>
      </w:pPr>
    </w:p>
    <w:p>
      <w:pPr>
        <w:autoSpaceDE w:val="0"/>
        <w:autoSpaceDN w:val="0"/>
        <w:adjustRightInd/>
        <w:spacing w:line="240" w:lineRule="auto"/>
        <w:ind w:firstLine="420" w:firstLineChars="200"/>
        <w:jc w:val="center"/>
        <w:rPr>
          <w:rFonts w:ascii="宋体" w:hAnsi="Times New Roman"/>
          <w:szCs w:val="24"/>
        </w:rPr>
      </w:pPr>
      <w:r>
        <w:rPr>
          <w:rFonts w:ascii="宋体" w:hAnsi="Times New Roman"/>
          <w:szCs w:val="24"/>
        </w:rPr>
        <w:object>
          <v:shape id="_x0000_i1025" o:spt="75" type="#_x0000_t75" style="height:360pt;width:106.5pt;" o:ole="t" filled="f" o:preferrelative="t" stroked="f" coordsize="21600,21600">
            <v:path/>
            <v:fill on="f" focussize="0,0"/>
            <v:stroke on="f" joinstyle="miter"/>
            <v:imagedata r:id="rId14" o:title=""/>
            <o:lock v:ext="edit" aspectratio="f"/>
            <w10:wrap type="none"/>
            <w10:anchorlock/>
          </v:shape>
          <o:OLEObject Type="Embed" ProgID="Visio.Drawing.15" ShapeID="_x0000_i1025" DrawAspect="Content" ObjectID="_1468075725" r:id="rId13">
            <o:LockedField>false</o:LockedField>
          </o:OLEObject>
        </w:object>
      </w:r>
    </w:p>
    <w:p>
      <w:pPr>
        <w:numPr>
          <w:ilvl w:val="0"/>
          <w:numId w:val="17"/>
        </w:numPr>
        <w:adjustRightInd/>
        <w:spacing w:before="120" w:beforeLines="50" w:after="120" w:afterLines="50" w:line="240" w:lineRule="auto"/>
        <w:ind w:firstLine="420"/>
        <w:jc w:val="center"/>
        <w:rPr>
          <w:rFonts w:ascii="宋体" w:hAnsi="Times New Roman"/>
          <w:szCs w:val="24"/>
        </w:rPr>
      </w:pPr>
      <w:r>
        <w:rPr>
          <w:rFonts w:hint="eastAsia" w:ascii="黑体" w:hAnsi="Times New Roman" w:eastAsia="黑体"/>
          <w:szCs w:val="24"/>
        </w:rPr>
        <w:t>出版数据分类分级实施流程</w:t>
      </w:r>
    </w:p>
    <w:p>
      <w:pPr>
        <w:numPr>
          <w:ilvl w:val="0"/>
          <w:numId w:val="5"/>
        </w:numPr>
        <w:autoSpaceDE w:val="0"/>
        <w:autoSpaceDN w:val="0"/>
        <w:adjustRightInd/>
        <w:spacing w:line="14" w:lineRule="exact"/>
        <w:jc w:val="center"/>
        <w:rPr>
          <w:rFonts w:ascii="宋体" w:hAnsi="Times New Roman" w:eastAsia="黑体"/>
          <w:vanish/>
          <w:sz w:val="2"/>
          <w:szCs w:val="24"/>
        </w:rPr>
      </w:pPr>
    </w:p>
    <w:p>
      <w:pPr>
        <w:pStyle w:val="79"/>
        <w:pageBreakBefore/>
        <w:spacing w:after="120"/>
      </w:pPr>
      <w:bookmarkStart w:id="65" w:name="_Toc2066286926"/>
      <w:r>
        <w:rPr>
          <w:szCs w:val="24"/>
        </w:rPr>
        <w:br w:type="textWrapping"/>
      </w:r>
      <w:bookmarkStart w:id="66" w:name="_Toc217290842"/>
      <w:r>
        <w:rPr>
          <w:rFonts w:hint="eastAsia"/>
          <w:szCs w:val="24"/>
        </w:rPr>
        <w:t>（资料性）</w:t>
      </w:r>
      <w:r>
        <w:rPr>
          <w:szCs w:val="24"/>
        </w:rPr>
        <w:br w:type="textWrapping"/>
      </w:r>
      <w:r>
        <w:rPr>
          <w:rFonts w:hint="eastAsia"/>
        </w:rPr>
        <w:t>出版数据资源清单</w:t>
      </w:r>
      <w:bookmarkEnd w:id="65"/>
      <w:r>
        <w:rPr>
          <w:rFonts w:hint="eastAsia"/>
        </w:rPr>
        <w:t>样例</w:t>
      </w:r>
      <w:bookmarkEnd w:id="66"/>
    </w:p>
    <w:p>
      <w:pPr>
        <w:adjustRightInd/>
        <w:spacing w:before="120" w:beforeLines="50" w:after="120" w:afterLines="50" w:line="240" w:lineRule="auto"/>
        <w:outlineLvl w:val="1"/>
        <w:rPr>
          <w:rFonts w:ascii="黑体" w:hAnsi="Times New Roman" w:eastAsia="黑体"/>
          <w:szCs w:val="24"/>
        </w:rPr>
      </w:pPr>
      <w:r>
        <w:rPr>
          <w:rFonts w:hint="eastAsia" w:ascii="黑体" w:hAnsi="Times New Roman" w:eastAsia="黑体"/>
          <w:szCs w:val="24"/>
        </w:rPr>
        <w:t xml:space="preserve">A.1 </w:t>
      </w:r>
      <w:r>
        <w:rPr>
          <w:rFonts w:ascii="黑体" w:hAnsi="Times New Roman" w:eastAsia="黑体"/>
          <w:szCs w:val="24"/>
        </w:rPr>
        <w:t>数据</w:t>
      </w:r>
      <w:r>
        <w:rPr>
          <w:rFonts w:hint="eastAsia" w:ascii="黑体" w:hAnsi="Times New Roman" w:eastAsia="黑体"/>
          <w:szCs w:val="24"/>
        </w:rPr>
        <w:t>资源</w:t>
      </w:r>
      <w:r>
        <w:rPr>
          <w:rFonts w:ascii="黑体" w:hAnsi="Times New Roman" w:eastAsia="黑体"/>
          <w:szCs w:val="24"/>
        </w:rPr>
        <w:t>清单</w:t>
      </w:r>
      <w:r>
        <w:rPr>
          <w:rFonts w:hint="eastAsia" w:ascii="黑体" w:hAnsi="Times New Roman" w:eastAsia="黑体"/>
          <w:szCs w:val="24"/>
        </w:rPr>
        <w:t>样例1</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数据资源</w:t>
      </w:r>
      <w:r>
        <w:rPr>
          <w:rFonts w:ascii="宋体" w:hAnsi="Times New Roman"/>
          <w:szCs w:val="24"/>
        </w:rPr>
        <w:t>清单</w:t>
      </w:r>
      <w:r>
        <w:rPr>
          <w:rFonts w:hint="eastAsia" w:ascii="宋体" w:hAnsi="Times New Roman"/>
          <w:szCs w:val="24"/>
        </w:rPr>
        <w:t>样例1见表A</w:t>
      </w:r>
      <w:r>
        <w:rPr>
          <w:rFonts w:ascii="宋体" w:hAnsi="Times New Roman"/>
          <w:szCs w:val="24"/>
        </w:rPr>
        <w:t>.1</w:t>
      </w:r>
      <w:r>
        <w:rPr>
          <w:rFonts w:hint="eastAsia" w:ascii="宋体" w:hAnsi="Times New Roman"/>
          <w:szCs w:val="24"/>
        </w:rPr>
        <w:t>。</w:t>
      </w:r>
    </w:p>
    <w:p>
      <w:pPr>
        <w:numPr>
          <w:ilvl w:val="1"/>
          <w:numId w:val="5"/>
        </w:numPr>
        <w:snapToGrid w:val="0"/>
        <w:spacing w:before="120" w:beforeLines="50" w:after="120" w:afterLines="50" w:line="240" w:lineRule="auto"/>
        <w:jc w:val="center"/>
        <w:textAlignment w:val="baseline"/>
        <w:rPr>
          <w:rFonts w:ascii="黑体" w:hAnsi="Times New Roman" w:eastAsia="黑体"/>
          <w:kern w:val="21"/>
          <w:szCs w:val="24"/>
        </w:rPr>
      </w:pPr>
      <w:r>
        <w:rPr>
          <w:rFonts w:hint="eastAsia" w:ascii="黑体" w:hAnsi="Times New Roman" w:eastAsia="黑体"/>
          <w:kern w:val="21"/>
          <w:szCs w:val="24"/>
        </w:rPr>
        <w:t>数据资源清单样例1</w:t>
      </w:r>
    </w:p>
    <w:tbl>
      <w:tblPr>
        <w:tblStyle w:val="35"/>
        <w:tblW w:w="9478" w:type="dxa"/>
        <w:tblInd w:w="0" w:type="dxa"/>
        <w:tblLayout w:type="fixed"/>
        <w:tblCellMar>
          <w:top w:w="0" w:type="dxa"/>
          <w:left w:w="108" w:type="dxa"/>
          <w:bottom w:w="0" w:type="dxa"/>
          <w:right w:w="108" w:type="dxa"/>
        </w:tblCellMar>
      </w:tblPr>
      <w:tblGrid>
        <w:gridCol w:w="313"/>
        <w:gridCol w:w="353"/>
        <w:gridCol w:w="360"/>
        <w:gridCol w:w="390"/>
        <w:gridCol w:w="374"/>
        <w:gridCol w:w="999"/>
        <w:gridCol w:w="790"/>
        <w:gridCol w:w="630"/>
        <w:gridCol w:w="400"/>
        <w:gridCol w:w="414"/>
        <w:gridCol w:w="375"/>
        <w:gridCol w:w="375"/>
        <w:gridCol w:w="346"/>
        <w:gridCol w:w="550"/>
        <w:gridCol w:w="550"/>
        <w:gridCol w:w="370"/>
        <w:gridCol w:w="360"/>
        <w:gridCol w:w="749"/>
        <w:gridCol w:w="390"/>
        <w:gridCol w:w="390"/>
      </w:tblGrid>
      <w:tr>
        <w:tblPrEx>
          <w:tblLayout w:type="fixed"/>
          <w:tblCellMar>
            <w:top w:w="0" w:type="dxa"/>
            <w:left w:w="108" w:type="dxa"/>
            <w:bottom w:w="0" w:type="dxa"/>
            <w:right w:w="108" w:type="dxa"/>
          </w:tblCellMar>
        </w:tblPrEx>
        <w:trPr>
          <w:trHeight w:val="1174" w:hRule="atLeast"/>
        </w:trPr>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序号</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数据分类</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数据内容</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数据来源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加工</w:t>
            </w:r>
          </w:p>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程度</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数量</w:t>
            </w:r>
          </w:p>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（期/本）</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数量</w:t>
            </w:r>
          </w:p>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(万篇)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存储容量(Gb)</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信息系统</w:t>
            </w:r>
          </w:p>
        </w:tc>
        <w:tc>
          <w:tcPr>
            <w:tcW w:w="4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数据格式</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加密情况</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存储形式</w:t>
            </w: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存储地/机房</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存储IP</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采集起始时间</w:t>
            </w:r>
          </w:p>
        </w:tc>
        <w:tc>
          <w:tcPr>
            <w:tcW w:w="3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销毁时间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保存期限</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管理员及联系方式</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统计日期</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黑体" w:hAnsi="黑体" w:eastAsia="黑体" w:cs="黑体"/>
                <w:snapToGrid w:val="0"/>
                <w:kern w:val="0"/>
                <w:sz w:val="18"/>
                <w:szCs w:val="18"/>
              </w:rPr>
            </w:pPr>
            <w:r>
              <w:rPr>
                <w:rFonts w:hint="eastAsia" w:ascii="黑体" w:hAnsi="黑体" w:eastAsia="黑体" w:cs="黑体"/>
                <w:snapToGrid w:val="0"/>
                <w:kern w:val="0"/>
                <w:sz w:val="18"/>
                <w:szCs w:val="18"/>
              </w:rPr>
              <w:t>数据定级</w:t>
            </w:r>
          </w:p>
        </w:tc>
      </w:tr>
      <w:tr>
        <w:tblPrEx>
          <w:tblLayout w:type="fixed"/>
          <w:tblCellMar>
            <w:top w:w="0" w:type="dxa"/>
            <w:left w:w="108" w:type="dxa"/>
            <w:bottom w:w="0" w:type="dxa"/>
            <w:right w:w="108" w:type="dxa"/>
          </w:tblCellMar>
        </w:tblPrEx>
        <w:trPr>
          <w:trHeight w:val="460" w:hRule="atLeast"/>
        </w:trPr>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示例</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网络连续出版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期刊合集</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资源合作</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产品数据</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30000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200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中国学术期刊（网络版）</w:t>
            </w:r>
          </w:p>
        </w:tc>
        <w:tc>
          <w:tcPr>
            <w:tcW w:w="4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C</w:t>
            </w:r>
          </w:p>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A</w:t>
            </w:r>
          </w:p>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J</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明文</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服务器</w:t>
            </w: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*机房</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192.168.xxx.xxx</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2000年</w:t>
            </w:r>
          </w:p>
        </w:tc>
        <w:tc>
          <w:tcPr>
            <w:tcW w:w="3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永久保存</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员工姓名13810001000</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2025/1/1</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hint="eastAsia" w:ascii="宋体" w:hAnsi="宋体" w:cs="宋体"/>
                <w:snapToGrid w:val="0"/>
                <w:kern w:val="0"/>
                <w:sz w:val="18"/>
                <w:szCs w:val="18"/>
              </w:rPr>
              <w:t>一般数据2级</w:t>
            </w:r>
          </w:p>
        </w:tc>
      </w:tr>
    </w:tbl>
    <w:p>
      <w:pPr>
        <w:autoSpaceDE w:val="0"/>
        <w:autoSpaceDN w:val="0"/>
        <w:adjustRightInd/>
        <w:spacing w:line="240" w:lineRule="auto"/>
        <w:ind w:firstLine="420" w:firstLineChars="200"/>
        <w:rPr>
          <w:rFonts w:ascii="宋体" w:hAnsi="Times New Roman"/>
          <w:szCs w:val="24"/>
        </w:rPr>
      </w:pPr>
    </w:p>
    <w:p>
      <w:pPr>
        <w:adjustRightInd/>
        <w:spacing w:before="120" w:beforeLines="50" w:after="120" w:afterLines="50" w:line="240" w:lineRule="auto"/>
        <w:outlineLvl w:val="1"/>
        <w:rPr>
          <w:rFonts w:ascii="宋体" w:hAnsi="Times New Roman" w:eastAsia="黑体"/>
          <w:szCs w:val="24"/>
        </w:rPr>
      </w:pPr>
      <w:r>
        <w:rPr>
          <w:rFonts w:hint="eastAsia" w:ascii="黑体" w:hAnsi="Times New Roman" w:eastAsia="黑体"/>
          <w:szCs w:val="24"/>
        </w:rPr>
        <w:t xml:space="preserve">A.2 </w:t>
      </w:r>
      <w:r>
        <w:rPr>
          <w:rFonts w:ascii="黑体" w:hAnsi="Times New Roman" w:eastAsia="黑体"/>
          <w:szCs w:val="24"/>
        </w:rPr>
        <w:t>数据</w:t>
      </w:r>
      <w:r>
        <w:rPr>
          <w:rFonts w:hint="eastAsia" w:ascii="黑体" w:hAnsi="Times New Roman" w:eastAsia="黑体"/>
          <w:szCs w:val="24"/>
        </w:rPr>
        <w:t>资源</w:t>
      </w:r>
      <w:r>
        <w:rPr>
          <w:rFonts w:ascii="黑体" w:hAnsi="Times New Roman" w:eastAsia="黑体"/>
          <w:szCs w:val="24"/>
        </w:rPr>
        <w:t>清单</w:t>
      </w:r>
      <w:r>
        <w:rPr>
          <w:rFonts w:hint="eastAsia" w:ascii="黑体" w:hAnsi="Times New Roman" w:eastAsia="黑体"/>
          <w:szCs w:val="24"/>
        </w:rPr>
        <w:t>样例2</w:t>
      </w:r>
    </w:p>
    <w:p>
      <w:pPr>
        <w:autoSpaceDE w:val="0"/>
        <w:autoSpaceDN w:val="0"/>
        <w:adjustRightInd/>
        <w:spacing w:line="240" w:lineRule="auto"/>
        <w:ind w:firstLine="420" w:firstLineChars="200"/>
        <w:rPr>
          <w:rFonts w:ascii="宋体" w:hAnsi="Times New Roman"/>
          <w:szCs w:val="24"/>
        </w:rPr>
      </w:pPr>
      <w:r>
        <w:rPr>
          <w:rFonts w:ascii="宋体" w:hAnsi="Times New Roman"/>
          <w:szCs w:val="24"/>
        </w:rPr>
        <w:t>数据</w:t>
      </w:r>
      <w:r>
        <w:rPr>
          <w:rFonts w:hint="eastAsia" w:ascii="宋体" w:hAnsi="Times New Roman"/>
          <w:szCs w:val="24"/>
        </w:rPr>
        <w:t>资源</w:t>
      </w:r>
      <w:r>
        <w:rPr>
          <w:rFonts w:ascii="宋体" w:hAnsi="Times New Roman"/>
          <w:szCs w:val="24"/>
        </w:rPr>
        <w:t>清单</w:t>
      </w:r>
      <w:r>
        <w:rPr>
          <w:rFonts w:hint="eastAsia" w:ascii="宋体" w:hAnsi="Times New Roman"/>
          <w:szCs w:val="24"/>
        </w:rPr>
        <w:t>样例2见</w:t>
      </w:r>
      <w:r>
        <w:rPr>
          <w:rFonts w:ascii="宋体" w:hAnsi="Times New Roman"/>
          <w:szCs w:val="24"/>
        </w:rPr>
        <w:t>表</w:t>
      </w:r>
      <w:r>
        <w:rPr>
          <w:rFonts w:hint="eastAsia" w:ascii="宋体" w:hAnsi="Times New Roman"/>
          <w:szCs w:val="24"/>
        </w:rPr>
        <w:t>A.2。</w:t>
      </w:r>
    </w:p>
    <w:p>
      <w:pPr>
        <w:numPr>
          <w:ilvl w:val="1"/>
          <w:numId w:val="5"/>
        </w:numPr>
        <w:snapToGrid w:val="0"/>
        <w:spacing w:before="120" w:beforeLines="50" w:after="120" w:afterLines="50" w:line="240" w:lineRule="auto"/>
        <w:jc w:val="center"/>
        <w:textAlignment w:val="baseline"/>
        <w:rPr>
          <w:rFonts w:ascii="宋体" w:hAnsi="Times New Roman"/>
          <w:szCs w:val="24"/>
        </w:rPr>
      </w:pPr>
      <w:r>
        <w:rPr>
          <w:rFonts w:ascii="黑体" w:hAnsi="Times New Roman" w:eastAsia="黑体"/>
          <w:kern w:val="21"/>
          <w:szCs w:val="24"/>
        </w:rPr>
        <w:t>数据</w:t>
      </w:r>
      <w:r>
        <w:rPr>
          <w:rFonts w:hint="eastAsia" w:ascii="黑体" w:hAnsi="Times New Roman" w:eastAsia="黑体"/>
          <w:kern w:val="21"/>
          <w:szCs w:val="24"/>
        </w:rPr>
        <w:t>资源</w:t>
      </w:r>
      <w:r>
        <w:rPr>
          <w:rFonts w:ascii="黑体" w:hAnsi="Times New Roman" w:eastAsia="黑体"/>
          <w:kern w:val="21"/>
          <w:szCs w:val="24"/>
        </w:rPr>
        <w:t>清单样例</w:t>
      </w:r>
      <w:r>
        <w:rPr>
          <w:rFonts w:hint="eastAsia" w:ascii="黑体" w:hAnsi="Times New Roman" w:eastAsia="黑体"/>
          <w:kern w:val="21"/>
          <w:szCs w:val="24"/>
        </w:rPr>
        <w:t>2</w:t>
      </w:r>
    </w:p>
    <w:tbl>
      <w:tblPr>
        <w:tblStyle w:val="35"/>
        <w:tblW w:w="8267" w:type="dxa"/>
        <w:tblInd w:w="93" w:type="dxa"/>
        <w:tblLayout w:type="fixed"/>
        <w:tblCellMar>
          <w:top w:w="0" w:type="dxa"/>
          <w:left w:w="108" w:type="dxa"/>
          <w:bottom w:w="0" w:type="dxa"/>
          <w:right w:w="108" w:type="dxa"/>
        </w:tblCellMar>
      </w:tblPr>
      <w:tblGrid>
        <w:gridCol w:w="546"/>
        <w:gridCol w:w="360"/>
        <w:gridCol w:w="690"/>
        <w:gridCol w:w="331"/>
        <w:gridCol w:w="498"/>
        <w:gridCol w:w="373"/>
        <w:gridCol w:w="536"/>
        <w:gridCol w:w="652"/>
        <w:gridCol w:w="390"/>
        <w:gridCol w:w="330"/>
        <w:gridCol w:w="460"/>
        <w:gridCol w:w="300"/>
        <w:gridCol w:w="480"/>
        <w:gridCol w:w="580"/>
        <w:gridCol w:w="550"/>
        <w:gridCol w:w="397"/>
        <w:gridCol w:w="397"/>
        <w:gridCol w:w="397"/>
      </w:tblGrid>
      <w:tr>
        <w:tblPrEx>
          <w:tblLayout w:type="fixed"/>
          <w:tblCellMar>
            <w:top w:w="0" w:type="dxa"/>
            <w:left w:w="108" w:type="dxa"/>
            <w:bottom w:w="0" w:type="dxa"/>
            <w:right w:w="108" w:type="dxa"/>
          </w:tblCellMar>
        </w:tblPrEx>
        <w:trPr>
          <w:trHeight w:val="260" w:hRule="atLeast"/>
        </w:trPr>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资源编号</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资源名称</w:t>
            </w:r>
          </w:p>
        </w:tc>
        <w:tc>
          <w:tcPr>
            <w:tcW w:w="18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内容信息</w:t>
            </w:r>
          </w:p>
        </w:tc>
        <w:tc>
          <w:tcPr>
            <w:tcW w:w="26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属性信息</w:t>
            </w:r>
          </w:p>
        </w:tc>
        <w:tc>
          <w:tcPr>
            <w:tcW w:w="16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版权信息</w:t>
            </w:r>
          </w:p>
        </w:tc>
        <w:tc>
          <w:tcPr>
            <w:tcW w:w="11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其他信息</w:t>
            </w:r>
          </w:p>
        </w:tc>
      </w:tr>
      <w:tr>
        <w:tblPrEx>
          <w:tblLayout w:type="fixed"/>
          <w:tblCellMar>
            <w:top w:w="0" w:type="dxa"/>
            <w:left w:w="108" w:type="dxa"/>
            <w:bottom w:w="0" w:type="dxa"/>
            <w:right w:w="108" w:type="dxa"/>
          </w:tblCellMar>
        </w:tblPrEx>
        <w:trPr>
          <w:trHeight w:val="985" w:hRule="atLeast"/>
        </w:trPr>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ascii="黑体" w:hAnsi="黑体" w:eastAsia="黑体" w:cs="黑体"/>
                <w:sz w:val="18"/>
                <w:szCs w:val="18"/>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rPr>
                <w:rFonts w:ascii="黑体" w:hAnsi="黑体" w:eastAsia="黑体" w:cs="黑体"/>
                <w:sz w:val="18"/>
                <w:szCs w:val="18"/>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标签（关键字）</w:t>
            </w:r>
          </w:p>
        </w:tc>
        <w:tc>
          <w:tcPr>
            <w:tcW w:w="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一级分类</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二级分类</w:t>
            </w:r>
          </w:p>
        </w:tc>
        <w:tc>
          <w:tcPr>
            <w:tcW w:w="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内容简介</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资源类型</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资源格式</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分辨率</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横竖屏</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时长</w:t>
            </w:r>
          </w:p>
        </w:tc>
        <w:tc>
          <w:tcPr>
            <w:tcW w:w="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文件大小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作者</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版权来源</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snapToGrid w:val="0"/>
                <w:kern w:val="0"/>
                <w:sz w:val="18"/>
                <w:szCs w:val="18"/>
              </w:rPr>
              <w:t>版权有效期</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发布时间</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最近更新时间</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黑体" w:hAnsi="黑体" w:eastAsia="黑体" w:cs="黑体"/>
                <w:sz w:val="18"/>
                <w:szCs w:val="18"/>
              </w:rPr>
            </w:pPr>
            <w:r>
              <w:rPr>
                <w:rFonts w:hint="eastAsia" w:ascii="黑体" w:hAnsi="黑体" w:eastAsia="黑体" w:cs="黑体"/>
                <w:kern w:val="0"/>
                <w:sz w:val="18"/>
                <w:szCs w:val="18"/>
                <w:lang w:bidi="ar"/>
              </w:rPr>
              <w:t>存储路径</w:t>
            </w:r>
          </w:p>
        </w:tc>
      </w:tr>
      <w:tr>
        <w:tblPrEx>
          <w:tblLayout w:type="fixed"/>
          <w:tblCellMar>
            <w:top w:w="0" w:type="dxa"/>
            <w:left w:w="108" w:type="dxa"/>
            <w:bottom w:w="0" w:type="dxa"/>
            <w:right w:w="108" w:type="dxa"/>
          </w:tblCellMar>
        </w:tblPrEx>
        <w:trPr>
          <w:trHeight w:val="990" w:hRule="atLeast"/>
        </w:trPr>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N-TW-0001</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白唇鹿</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三江源、动物、生态</w:t>
            </w:r>
          </w:p>
        </w:tc>
        <w:tc>
          <w:tcPr>
            <w:tcW w:w="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地理</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大众科普</w:t>
            </w:r>
          </w:p>
        </w:tc>
        <w:tc>
          <w:tcPr>
            <w:tcW w:w="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kern w:val="0"/>
                <w:sz w:val="18"/>
                <w:szCs w:val="18"/>
                <w:lang w:bidi="ar"/>
              </w:rPr>
              <w:t>摄影作品</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图片</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rPr>
                <w:rFonts w:ascii="宋体" w:hAnsi="宋体" w:cs="黑体"/>
                <w:sz w:val="18"/>
                <w:szCs w:val="18"/>
              </w:rPr>
            </w:pPr>
            <w:r>
              <w:rPr>
                <w:rFonts w:hint="eastAsia" w:ascii="宋体" w:hAnsi="宋体" w:cs="黑体"/>
                <w:sz w:val="18"/>
                <w:szCs w:val="18"/>
              </w:rPr>
              <w:t>JPG/PNG</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sz w:val="18"/>
                <w:szCs w:val="18"/>
              </w:rPr>
              <w:t>4032*3024</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rPr>
                <w:rFonts w:ascii="宋体" w:hAnsi="宋体" w:cs="黑体"/>
                <w:sz w:val="18"/>
                <w:szCs w:val="18"/>
              </w:rPr>
            </w:pPr>
            <w:r>
              <w:rPr>
                <w:rFonts w:hint="eastAsia" w:ascii="宋体" w:hAnsi="宋体" w:cs="黑体"/>
                <w:sz w:val="18"/>
                <w:szCs w:val="18"/>
              </w:rPr>
              <w:t>横屏</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rPr>
                <w:rFonts w:ascii="宋体" w:hAnsi="宋体" w:cs="黑体"/>
                <w:sz w:val="18"/>
                <w:szCs w:val="18"/>
              </w:rPr>
            </w:pPr>
            <w:r>
              <w:rPr>
                <w:rFonts w:hint="eastAsia" w:ascii="宋体" w:hAnsi="宋体" w:cs="黑体"/>
                <w:sz w:val="18"/>
                <w:szCs w:val="18"/>
              </w:rPr>
              <w:t>/</w:t>
            </w:r>
          </w:p>
        </w:tc>
        <w:tc>
          <w:tcPr>
            <w:tcW w:w="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sz w:val="18"/>
                <w:szCs w:val="18"/>
              </w:rPr>
              <w:t>4.6M</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kern w:val="0"/>
                <w:sz w:val="18"/>
                <w:szCs w:val="18"/>
                <w:lang w:bidi="ar"/>
              </w:rPr>
              <w:t>**</w:t>
            </w:r>
            <w:r>
              <w:rPr>
                <w:rFonts w:hint="eastAsia" w:ascii="宋体" w:hAnsi="宋体" w:cs="黑体"/>
                <w:sz w:val="18"/>
                <w:szCs w:val="18"/>
              </w:rPr>
              <w:t>地图出版社</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集团原创</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left"/>
              <w:textAlignment w:val="center"/>
              <w:rPr>
                <w:rFonts w:ascii="宋体" w:hAnsi="宋体" w:cs="黑体"/>
                <w:sz w:val="18"/>
                <w:szCs w:val="18"/>
              </w:rPr>
            </w:pPr>
            <w:r>
              <w:rPr>
                <w:rFonts w:hint="eastAsia" w:ascii="宋体" w:hAnsi="宋体" w:cs="黑体"/>
                <w:kern w:val="0"/>
                <w:sz w:val="18"/>
                <w:szCs w:val="18"/>
                <w:lang w:bidi="ar"/>
              </w:rPr>
              <w:t>永久</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sz w:val="18"/>
                <w:szCs w:val="18"/>
              </w:rPr>
              <w:t>2025-08-05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sz w:val="18"/>
                <w:szCs w:val="18"/>
              </w:rPr>
              <w:t>2025-08-05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rPr>
                <w:rFonts w:ascii="宋体" w:hAnsi="宋体" w:cs="黑体"/>
                <w:sz w:val="18"/>
                <w:szCs w:val="18"/>
              </w:rPr>
            </w:pPr>
            <w:r>
              <w:rPr>
                <w:rFonts w:hint="eastAsia" w:ascii="宋体" w:hAnsi="宋体" w:cs="黑体"/>
                <w:sz w:val="18"/>
                <w:szCs w:val="18"/>
              </w:rPr>
              <w:t>云平台</w:t>
            </w:r>
          </w:p>
        </w:tc>
      </w:tr>
    </w:tbl>
    <w:p>
      <w:pPr>
        <w:pStyle w:val="182"/>
      </w:pPr>
      <w:r>
        <w:rPr>
          <w:rFonts w:hint="eastAsia"/>
        </w:rPr>
        <w:t>开展数据梳理工作过程中，可依据数据特性对数据资产清单项目进行合理调整。</w:t>
      </w:r>
    </w:p>
    <w:p>
      <w:pPr>
        <w:autoSpaceDE w:val="0"/>
        <w:autoSpaceDN w:val="0"/>
        <w:adjustRightInd/>
        <w:spacing w:line="240" w:lineRule="auto"/>
        <w:ind w:firstLine="420" w:firstLineChars="200"/>
        <w:rPr>
          <w:rFonts w:ascii="宋体" w:hAnsi="Times New Roman"/>
          <w:szCs w:val="24"/>
        </w:rPr>
      </w:pPr>
    </w:p>
    <w:p>
      <w:pPr>
        <w:autoSpaceDE w:val="0"/>
        <w:autoSpaceDN w:val="0"/>
        <w:adjustRightInd/>
        <w:spacing w:line="240" w:lineRule="auto"/>
        <w:ind w:firstLine="420" w:firstLineChars="200"/>
        <w:rPr>
          <w:rFonts w:ascii="宋体" w:hAnsi="Times New Roman"/>
          <w:szCs w:val="24"/>
        </w:rPr>
      </w:pPr>
    </w:p>
    <w:p>
      <w:pPr>
        <w:autoSpaceDE w:val="0"/>
        <w:autoSpaceDN w:val="0"/>
        <w:adjustRightInd/>
        <w:spacing w:line="240" w:lineRule="auto"/>
        <w:ind w:firstLine="420" w:firstLineChars="200"/>
        <w:rPr>
          <w:rFonts w:ascii="宋体" w:hAnsi="Times New Roman"/>
          <w:szCs w:val="24"/>
        </w:rPr>
      </w:pPr>
    </w:p>
    <w:p>
      <w:pPr>
        <w:pStyle w:val="79"/>
        <w:spacing w:after="120"/>
        <w:rPr>
          <w:szCs w:val="24"/>
        </w:rPr>
      </w:pPr>
      <w:bookmarkStart w:id="67" w:name="_Toc1386825986"/>
      <w:r>
        <w:rPr>
          <w:szCs w:val="24"/>
        </w:rPr>
        <w:br w:type="textWrapping"/>
      </w:r>
      <w:bookmarkStart w:id="68" w:name="_Toc217290843"/>
      <w:r>
        <w:rPr>
          <w:rFonts w:hint="eastAsia"/>
          <w:szCs w:val="24"/>
        </w:rPr>
        <w:t>（资料性）</w:t>
      </w:r>
      <w:r>
        <w:rPr>
          <w:szCs w:val="24"/>
        </w:rPr>
        <w:br w:type="textWrapping"/>
      </w:r>
      <w:r>
        <w:rPr>
          <w:rFonts w:hint="eastAsia"/>
          <w:szCs w:val="24"/>
        </w:rPr>
        <w:t>数据分类框架</w:t>
      </w:r>
      <w:bookmarkEnd w:id="67"/>
      <w:r>
        <w:rPr>
          <w:rFonts w:hint="eastAsia"/>
          <w:szCs w:val="24"/>
        </w:rPr>
        <w:t>样例</w:t>
      </w:r>
      <w:bookmarkEnd w:id="68"/>
    </w:p>
    <w:p>
      <w:pPr>
        <w:adjustRightInd/>
        <w:spacing w:before="120" w:beforeLines="50" w:after="120" w:afterLines="50" w:line="240" w:lineRule="auto"/>
        <w:outlineLvl w:val="1"/>
        <w:rPr>
          <w:rFonts w:ascii="黑体" w:hAnsi="Times New Roman" w:eastAsia="黑体"/>
          <w:szCs w:val="24"/>
        </w:rPr>
      </w:pPr>
      <w:r>
        <w:rPr>
          <w:rFonts w:hint="eastAsia" w:ascii="黑体" w:hAnsi="Times New Roman" w:eastAsia="黑体"/>
          <w:szCs w:val="24"/>
        </w:rPr>
        <w:t>B.1 数据</w:t>
      </w:r>
      <w:r>
        <w:rPr>
          <w:rFonts w:ascii="黑体" w:hAnsi="Times New Roman" w:eastAsia="黑体"/>
          <w:szCs w:val="24"/>
        </w:rPr>
        <w:t>分类框架样例</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数据</w:t>
      </w:r>
      <w:r>
        <w:rPr>
          <w:rFonts w:ascii="宋体" w:hAnsi="Times New Roman"/>
          <w:szCs w:val="24"/>
        </w:rPr>
        <w:t>分类框架样例见表</w:t>
      </w:r>
      <w:r>
        <w:rPr>
          <w:rFonts w:hint="eastAsia" w:ascii="宋体" w:hAnsi="Times New Roman"/>
          <w:szCs w:val="24"/>
        </w:rPr>
        <w:t>B.1。</w:t>
      </w:r>
    </w:p>
    <w:p>
      <w:pPr>
        <w:numPr>
          <w:ilvl w:val="255"/>
          <w:numId w:val="0"/>
        </w:numPr>
        <w:snapToGrid w:val="0"/>
        <w:spacing w:before="120" w:beforeLines="50" w:after="120" w:afterLines="50" w:line="240" w:lineRule="auto"/>
        <w:jc w:val="center"/>
        <w:textAlignment w:val="baseline"/>
        <w:rPr>
          <w:rFonts w:ascii="黑体" w:hAnsi="Times New Roman" w:eastAsia="黑体"/>
          <w:kern w:val="21"/>
          <w:szCs w:val="24"/>
        </w:rPr>
      </w:pPr>
      <w:r>
        <w:rPr>
          <w:rFonts w:hint="eastAsia" w:ascii="黑体" w:hAnsi="Times New Roman" w:eastAsia="黑体"/>
          <w:kern w:val="21"/>
          <w:szCs w:val="24"/>
        </w:rPr>
        <w:t>表B.1 数据</w:t>
      </w:r>
      <w:r>
        <w:rPr>
          <w:rFonts w:ascii="黑体" w:hAnsi="Times New Roman" w:eastAsia="黑体"/>
          <w:kern w:val="21"/>
          <w:szCs w:val="24"/>
        </w:rPr>
        <w:t>分类</w:t>
      </w:r>
      <w:r>
        <w:rPr>
          <w:rFonts w:hint="eastAsia" w:ascii="黑体" w:hAnsi="Times New Roman" w:eastAsia="黑体"/>
          <w:kern w:val="21"/>
          <w:szCs w:val="24"/>
        </w:rPr>
        <w:t>参考</w:t>
      </w:r>
      <w:r>
        <w:rPr>
          <w:rFonts w:ascii="黑体" w:hAnsi="Times New Roman" w:eastAsia="黑体"/>
          <w:kern w:val="21"/>
          <w:szCs w:val="24"/>
        </w:rPr>
        <w:t>框架</w:t>
      </w:r>
    </w:p>
    <w:tbl>
      <w:tblPr>
        <w:tblStyle w:val="35"/>
        <w:tblW w:w="9151"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41"/>
        <w:gridCol w:w="3500"/>
        <w:gridCol w:w="36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0" w:hRule="exact"/>
        </w:trPr>
        <w:tc>
          <w:tcPr>
            <w:tcW w:w="2041" w:type="dxa"/>
            <w:tcBorders>
              <w:tl2br w:val="nil"/>
              <w:tr2bl w:val="nil"/>
            </w:tcBorders>
            <w:shd w:val="clear" w:color="auto" w:fill="auto"/>
            <w:vAlign w:val="center"/>
          </w:tcPr>
          <w:p>
            <w:pPr>
              <w:widowControl/>
              <w:autoSpaceDE w:val="0"/>
              <w:autoSpaceDN w:val="0"/>
              <w:adjustRightInd/>
              <w:spacing w:line="240" w:lineRule="auto"/>
              <w:jc w:val="center"/>
              <w:rPr>
                <w:rFonts w:ascii="黑体" w:hAnsi="黑体" w:eastAsia="黑体"/>
                <w:kern w:val="0"/>
                <w:sz w:val="18"/>
                <w:szCs w:val="18"/>
              </w:rPr>
            </w:pPr>
            <w:r>
              <w:rPr>
                <w:rFonts w:ascii="黑体" w:hAnsi="黑体" w:eastAsia="黑体"/>
                <w:kern w:val="0"/>
                <w:sz w:val="18"/>
                <w:szCs w:val="18"/>
              </w:rPr>
              <w:t>分类维度</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黑体" w:hAnsi="黑体" w:eastAsia="黑体"/>
                <w:kern w:val="0"/>
                <w:sz w:val="18"/>
                <w:szCs w:val="18"/>
              </w:rPr>
            </w:pPr>
            <w:r>
              <w:rPr>
                <w:rFonts w:ascii="黑体" w:hAnsi="黑体" w:eastAsia="黑体"/>
                <w:kern w:val="0"/>
                <w:sz w:val="18"/>
                <w:szCs w:val="18"/>
              </w:rPr>
              <w:t>一级分类类别</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黑体" w:hAnsi="黑体" w:eastAsia="黑体"/>
                <w:kern w:val="0"/>
                <w:sz w:val="18"/>
                <w:szCs w:val="18"/>
              </w:rPr>
            </w:pPr>
            <w:r>
              <w:rPr>
                <w:rFonts w:ascii="黑体" w:hAnsi="黑体" w:eastAsia="黑体"/>
                <w:kern w:val="0"/>
                <w:sz w:val="18"/>
                <w:szCs w:val="18"/>
              </w:rPr>
              <w:t>二级分类类别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描述对象</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内容</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用户</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经营管理</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衍生</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出版产品形态</w:t>
            </w:r>
          </w:p>
        </w:tc>
        <w:tc>
          <w:tcPr>
            <w:tcW w:w="3500"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纸质出版物</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一般图书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期刊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报纸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地图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电子出版物</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电子图书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连续型电子出版物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网络出版物</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网络图书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连续型网络出版物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网络原创文学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w:t>
            </w:r>
            <w:r>
              <w:rPr>
                <w:rFonts w:ascii="宋体" w:hAnsi="宋体"/>
                <w:kern w:val="0"/>
                <w:sz w:val="18"/>
                <w:szCs w:val="18"/>
              </w:rPr>
              <w:t>数据库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网络地图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网络动漫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数字音乐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网络游戏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网络社区信息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博客/播客/网络视频（vlog）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tc>
        <w:tc>
          <w:tcPr>
            <w:tcW w:w="3500"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音像制品</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录音制品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录像制品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缩微出版物</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1"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其他特殊形态</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（盲文出版物、融合出版物等）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5" w:hRule="exact"/>
        </w:trPr>
        <w:tc>
          <w:tcPr>
            <w:tcW w:w="2041"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数据内容</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根据内容分类（例如行业、学科、主题等）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例如国际标准行业分类、国民经济行业分类、教育部学科分类、中图分类等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用户对象</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年龄分级</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读者身份</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阅读场景</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数据</w:t>
            </w:r>
            <w:r>
              <w:rPr>
                <w:rFonts w:ascii="宋体" w:hAnsi="宋体"/>
                <w:kern w:val="0"/>
                <w:sz w:val="18"/>
                <w:szCs w:val="18"/>
              </w:rPr>
              <w:t>用途</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使用场景类型（例如研究分析、用户展示、保藏管理等）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其他（例如基础数据、业务数据、临时数据等）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数据</w:t>
            </w:r>
            <w:r>
              <w:rPr>
                <w:rFonts w:hint="eastAsia" w:ascii="宋体" w:hAnsi="宋体"/>
                <w:kern w:val="0"/>
                <w:sz w:val="18"/>
                <w:szCs w:val="18"/>
              </w:rPr>
              <w:t>处理</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原始数据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衍生数据</w:t>
            </w:r>
            <w:r>
              <w:rPr>
                <w:rFonts w:hint="eastAsia" w:ascii="宋体" w:hAnsi="宋体"/>
                <w:kern w:val="0"/>
                <w:sz w:val="18"/>
                <w:szCs w:val="18"/>
              </w:rPr>
              <w:t>（</w:t>
            </w:r>
            <w:r>
              <w:rPr>
                <w:rFonts w:ascii="宋体" w:hAnsi="宋体"/>
                <w:kern w:val="0"/>
                <w:sz w:val="18"/>
                <w:szCs w:val="18"/>
              </w:rPr>
              <w:t>分析 、加工 、处理的数据</w:t>
            </w:r>
            <w:r>
              <w:rPr>
                <w:rFonts w:hint="eastAsia" w:ascii="宋体" w:hAnsi="宋体"/>
                <w:kern w:val="0"/>
                <w:sz w:val="18"/>
                <w:szCs w:val="18"/>
              </w:rPr>
              <w:t>）</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归档数据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应急出版数据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版权情况</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授权主体类型（例如机构授权、个人授权等）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9"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版权使用类型（例如资源持有权、加工使用权、流通经营权等）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4"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tabs>
                <w:tab w:val="left" w:pos="580"/>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版权归属期限（如长期持有、有限期约定等）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其他情况</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生成</w:t>
            </w:r>
            <w:r>
              <w:rPr>
                <w:rFonts w:ascii="宋体" w:hAnsi="宋体"/>
                <w:kern w:val="0"/>
                <w:sz w:val="18"/>
                <w:szCs w:val="18"/>
              </w:rPr>
              <w:t>主体</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公共</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企业</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个人</w:t>
            </w:r>
            <w:r>
              <w:rPr>
                <w:rFonts w:ascii="宋体" w:hAnsi="宋体"/>
                <w:kern w:val="0"/>
                <w:sz w:val="18"/>
                <w:szCs w:val="18"/>
              </w:rPr>
              <w:t>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restart"/>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数据模态</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文本数据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音频数据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图片数据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视频数据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混合模态数据</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vMerge w:val="continue"/>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exact"/>
        </w:trPr>
        <w:tc>
          <w:tcPr>
            <w:tcW w:w="2041"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w:t>
            </w:r>
          </w:p>
        </w:tc>
        <w:tc>
          <w:tcPr>
            <w:tcW w:w="350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其他（重大选题等）</w:t>
            </w:r>
          </w:p>
        </w:tc>
        <w:tc>
          <w:tcPr>
            <w:tcW w:w="3610" w:type="dxa"/>
            <w:tcBorders>
              <w:tl2br w:val="nil"/>
              <w:tr2bl w:val="nil"/>
            </w:tcBorders>
            <w:shd w:val="clear" w:color="auto" w:fill="auto"/>
            <w:vAlign w:val="center"/>
          </w:tcPr>
          <w:p>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bl>
    <w:p>
      <w:pPr>
        <w:pStyle w:val="182"/>
      </w:pPr>
      <w:r>
        <w:rPr>
          <w:rFonts w:hint="eastAsia"/>
        </w:rPr>
        <w:t>开展出版数据分类工作时，可以结合自身特性对</w:t>
      </w:r>
      <w:r>
        <w:t>分类</w:t>
      </w:r>
      <w:r>
        <w:rPr>
          <w:rFonts w:hint="eastAsia"/>
        </w:rPr>
        <w:t>维度进行选择、更换或增设等调整，构建适用于业务开展和数据安全的出版数据分类框架。</w:t>
      </w:r>
    </w:p>
    <w:p>
      <w:pPr>
        <w:pStyle w:val="59"/>
        <w:ind w:firstLine="420"/>
      </w:pPr>
    </w:p>
    <w:p>
      <w:pPr>
        <w:sectPr>
          <w:footerReference r:id="rId11" w:type="default"/>
          <w:type w:val="continuous"/>
          <w:pgSz w:w="11906" w:h="16838"/>
          <w:pgMar w:top="1928" w:right="1134" w:bottom="1134" w:left="1134" w:header="1418" w:footer="1134" w:gutter="284"/>
          <w:pgNumType w:start="0"/>
          <w:cols w:space="425" w:num="1"/>
          <w:formProt w:val="0"/>
          <w:docGrid w:linePitch="312" w:charSpace="0"/>
        </w:sectPr>
      </w:pPr>
    </w:p>
    <w:p>
      <w:pPr>
        <w:pStyle w:val="66"/>
        <w:spacing w:after="120"/>
      </w:pPr>
      <w:bookmarkStart w:id="69" w:name="_Toc174226577"/>
      <w:bookmarkStart w:id="70" w:name="_Toc217290844"/>
      <w:r>
        <w:rPr>
          <w:rFonts w:hint="eastAsia"/>
        </w:rPr>
        <w:t>参 考 文 献</w:t>
      </w:r>
      <w:bookmarkEnd w:id="69"/>
      <w:bookmarkEnd w:id="70"/>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t>
      </w:r>
      <w:r>
        <w:rPr>
          <w:rFonts w:ascii="宋体" w:hAnsi="Times New Roman"/>
          <w:szCs w:val="24"/>
        </w:rPr>
        <w:t>1</w:t>
      </w:r>
      <w:r>
        <w:rPr>
          <w:rFonts w:hint="eastAsia" w:ascii="宋体" w:hAnsi="Times New Roman"/>
          <w:szCs w:val="24"/>
        </w:rPr>
        <w:t>] GB/T 34960.5—2018 信息技术服务 治理 第5部分：数据治理规范</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t>
      </w:r>
      <w:r>
        <w:rPr>
          <w:rFonts w:ascii="宋体" w:hAnsi="Times New Roman"/>
          <w:szCs w:val="24"/>
        </w:rPr>
        <w:t>2</w:t>
      </w:r>
      <w:r>
        <w:rPr>
          <w:rFonts w:hint="eastAsia" w:ascii="宋体" w:hAnsi="Times New Roman"/>
          <w:szCs w:val="24"/>
        </w:rPr>
        <w:t>] GB/T 36344—2018 信息技术 数据质量评价指标</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t>
      </w:r>
      <w:r>
        <w:rPr>
          <w:rFonts w:ascii="宋体" w:hAnsi="Times New Roman"/>
          <w:szCs w:val="24"/>
        </w:rPr>
        <w:t>3</w:t>
      </w:r>
      <w:r>
        <w:rPr>
          <w:rFonts w:hint="eastAsia" w:ascii="宋体" w:hAnsi="Times New Roman"/>
          <w:szCs w:val="24"/>
        </w:rPr>
        <w:t>] GB/T 38667—2020 信息技术 大数据 数据分类指南</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t>
      </w:r>
      <w:r>
        <w:rPr>
          <w:rFonts w:ascii="宋体" w:hAnsi="Times New Roman"/>
          <w:szCs w:val="24"/>
        </w:rPr>
        <w:t>4</w:t>
      </w:r>
      <w:r>
        <w:rPr>
          <w:rFonts w:hint="eastAsia" w:ascii="宋体" w:hAnsi="Times New Roman"/>
          <w:szCs w:val="24"/>
        </w:rPr>
        <w:t>] GB/T 42447—2023 信息安全技术　电信领域数据安全指南</w:t>
      </w:r>
    </w:p>
    <w:p>
      <w:pPr>
        <w:autoSpaceDE w:val="0"/>
        <w:autoSpaceDN w:val="0"/>
        <w:adjustRightInd/>
        <w:spacing w:line="240" w:lineRule="auto"/>
        <w:ind w:firstLine="420" w:firstLineChars="200"/>
        <w:rPr>
          <w:rFonts w:ascii="宋体" w:hAnsi="Times New Roman"/>
          <w:szCs w:val="24"/>
        </w:rPr>
      </w:pPr>
      <w:r>
        <w:rPr>
          <w:rFonts w:ascii="宋体" w:hAnsi="Times New Roman"/>
          <w:szCs w:val="24"/>
        </w:rPr>
        <w:t xml:space="preserve">[5] GB/T 43705—2025 </w:t>
      </w:r>
      <w:r>
        <w:rPr>
          <w:rFonts w:hint="eastAsia" w:ascii="宋体" w:hAnsi="Times New Roman"/>
          <w:szCs w:val="24"/>
        </w:rPr>
        <w:t>科学数据安全分类分级指南</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t>
      </w:r>
      <w:r>
        <w:rPr>
          <w:rFonts w:ascii="宋体" w:hAnsi="Times New Roman"/>
          <w:szCs w:val="24"/>
        </w:rPr>
        <w:t>6</w:t>
      </w:r>
      <w:r>
        <w:rPr>
          <w:rFonts w:hint="eastAsia" w:ascii="宋体" w:hAnsi="Times New Roman"/>
          <w:szCs w:val="24"/>
        </w:rPr>
        <w:t>] GB/T 43697—2024 数据安全技术 数据分类分级规则</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[7]</w:t>
      </w:r>
      <w:bookmarkStart w:id="71" w:name="OLE_LINK1"/>
      <w:r>
        <w:rPr>
          <w:rFonts w:hint="eastAsia" w:ascii="宋体" w:hAnsi="Times New Roman"/>
          <w:szCs w:val="24"/>
        </w:rPr>
        <w:t xml:space="preserve"> GB/T 46353—2025 信息技术 大数据 数据资产价值评估</w:t>
      </w:r>
      <w:bookmarkEnd w:id="71"/>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[8] 中华人民共和国国务院．出版管理条例[Z].2024</w:t>
      </w:r>
    </w:p>
    <w:p>
      <w:pPr>
        <w:pStyle w:val="59"/>
        <w:ind w:firstLine="0" w:firstLineChars="0"/>
      </w:pPr>
    </w:p>
    <w:p>
      <w:pPr>
        <w:pStyle w:val="59"/>
        <w:ind w:firstLine="0" w:firstLineChars="0"/>
      </w:pPr>
    </w:p>
    <w:p>
      <w:pPr>
        <w:pStyle w:val="59"/>
        <w:ind w:firstLine="0" w:firstLineChars="0"/>
      </w:pPr>
    </w:p>
    <w:p>
      <w:pPr>
        <w:pStyle w:val="59"/>
        <w:ind w:firstLine="0" w:firstLineChars="0"/>
      </w:pPr>
    </w:p>
    <w:bookmarkEnd w:id="24"/>
    <w:sdt>
      <w:sdtPr>
        <w:tag w:val="NEW_STAND_NAME"/>
        <w:id w:val="595910757"/>
        <w:lock w:val="sdtLocked"/>
        <w:placeholder>
          <w:docPart w:val="2E1C6915CD944AB4BD3E2AE3BF0F1E58"/>
        </w:placeholder>
      </w:sdtPr>
      <w:sdtContent>
        <w:p>
          <w:pPr>
            <w:pStyle w:val="180"/>
            <w:spacing w:before="0" w:after="0" w:line="240" w:lineRule="auto"/>
            <w:jc w:val="both"/>
          </w:pPr>
          <w:bookmarkStart w:id="72" w:name="NEW_STAND_NAME"/>
          <w:bookmarkEnd w:id="72"/>
          <w:bookmarkStart w:id="73" w:name="BookMark4"/>
        </w:p>
        <w:p>
          <w:pPr>
            <w:pStyle w:val="180"/>
            <w:spacing w:before="0" w:after="0" w:line="240" w:lineRule="auto"/>
          </w:pPr>
          <w:bookmarkStart w:id="7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dtContent>
    </w:sdt>
    <w:bookmarkEnd w:id="73"/>
    <w:bookmarkEnd w:id="74"/>
    <w:sectPr>
      <w:pgSz w:w="11906" w:h="16838"/>
      <w:pgMar w:top="1928"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Hiragino Sans GB">
    <w:altName w:val="Segoe Print"/>
    <w:panose1 w:val="00000000000000000000"/>
    <w:charset w:val="00"/>
    <w:family w:val="auto"/>
    <w:pitch w:val="default"/>
    <w:sig w:usb0="00000000" w:usb1="00000000" w:usb2="00000000" w:usb3="00000000" w:csb0="00040001" w:csb1="00000000"/>
  </w:font>
  <w:font w:name="AdobeHeitiStd-Regular">
    <w:altName w:val="宋体"/>
    <w:panose1 w:val="00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CY/T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r>
      <w:fldChar w:fldCharType="begin"/>
    </w:r>
    <w:r>
      <w:instrText xml:space="preserve"> STYLEREF  标准文件_文件编号  \* MERGEFORMAT </w:instrText>
    </w:r>
    <w:r>
      <w:fldChar w:fldCharType="separate"/>
    </w:r>
    <w:r>
      <w:t>CY/T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D6ADA4"/>
    <w:multiLevelType w:val="multilevel"/>
    <w:tmpl w:val="D1D6ADA4"/>
    <w:lvl w:ilvl="0" w:tentative="0">
      <w:start w:val="1"/>
      <w:numFmt w:val="none"/>
      <w:pStyle w:val="184"/>
      <w:suff w:val="nothing"/>
      <w:lvlText w:val="%1示例："/>
      <w:lvlJc w:val="left"/>
      <w:pPr>
        <w:ind w:left="0" w:firstLine="850"/>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CB0A78"/>
    <w:multiLevelType w:val="multilevel"/>
    <w:tmpl w:val="43CB0A78"/>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eastAsia"/>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rPr>
        <w:rFonts w:ascii="黑体" w:hAnsi="黑体" w:eastAsia="黑体"/>
      </w:r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vertAlign w:val="baseline"/>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5"/>
  </w:num>
  <w:num w:numId="4">
    <w:abstractNumId w:val="24"/>
  </w:num>
  <w:num w:numId="5">
    <w:abstractNumId w:val="19"/>
  </w:num>
  <w:num w:numId="6">
    <w:abstractNumId w:val="14"/>
  </w:num>
  <w:num w:numId="7">
    <w:abstractNumId w:val="8"/>
  </w:num>
  <w:num w:numId="8">
    <w:abstractNumId w:val="4"/>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3"/>
  </w:num>
  <w:num w:numId="28">
    <w:abstractNumId w:val="0"/>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forms" w:enforcement="1" w:cryptProviderType="rsaAES" w:cryptAlgorithmClass="hash" w:cryptAlgorithmType="typeAny" w:cryptAlgorithmSid="14" w:cryptSpinCount="100000" w:hash="gc58CDQCJYj6bIeUPPXyZ6+3ZF0pzOaN9d5qDPgaFm5C6aDCUlu33yjRRJpy1ITNmNOnr28ezQkRKr6tIQYEHg==" w:salt="uTByrrM5xQgUSAEQTQsYOQ=="/>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NmNTUzODk3NzE1NmJkOTdhOGQwMDI2OGZiMjZjZmQifQ=="/>
  </w:docVars>
  <w:rsids>
    <w:rsidRoot w:val="004A58F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D7A"/>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205A"/>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899"/>
    <w:rsid w:val="0019348F"/>
    <w:rsid w:val="00193A07"/>
    <w:rsid w:val="00194C95"/>
    <w:rsid w:val="00195C34"/>
    <w:rsid w:val="001A1A53"/>
    <w:rsid w:val="001A234A"/>
    <w:rsid w:val="001A2E52"/>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34A"/>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4CB2"/>
    <w:rsid w:val="002359CB"/>
    <w:rsid w:val="00243540"/>
    <w:rsid w:val="0024497B"/>
    <w:rsid w:val="0024515B"/>
    <w:rsid w:val="00246021"/>
    <w:rsid w:val="0024666E"/>
    <w:rsid w:val="00247F52"/>
    <w:rsid w:val="00250B25"/>
    <w:rsid w:val="00250BBE"/>
    <w:rsid w:val="002515C2"/>
    <w:rsid w:val="0025194F"/>
    <w:rsid w:val="0026148A"/>
    <w:rsid w:val="00262696"/>
    <w:rsid w:val="00262E23"/>
    <w:rsid w:val="002634BC"/>
    <w:rsid w:val="002643C3"/>
    <w:rsid w:val="00264A0C"/>
    <w:rsid w:val="00267EF4"/>
    <w:rsid w:val="00270CB8"/>
    <w:rsid w:val="00272B08"/>
    <w:rsid w:val="002803B1"/>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8CC"/>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937"/>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4A63"/>
    <w:rsid w:val="003B5BF0"/>
    <w:rsid w:val="003B60BF"/>
    <w:rsid w:val="003B6BE3"/>
    <w:rsid w:val="003C010C"/>
    <w:rsid w:val="003C0A6C"/>
    <w:rsid w:val="003C2859"/>
    <w:rsid w:val="003C5A43"/>
    <w:rsid w:val="003D0519"/>
    <w:rsid w:val="003D0FF6"/>
    <w:rsid w:val="003D262C"/>
    <w:rsid w:val="003D622B"/>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58F0"/>
    <w:rsid w:val="004A63FA"/>
    <w:rsid w:val="004B0272"/>
    <w:rsid w:val="004B2701"/>
    <w:rsid w:val="004B2A43"/>
    <w:rsid w:val="004B2E1B"/>
    <w:rsid w:val="004B3E93"/>
    <w:rsid w:val="004C1FBC"/>
    <w:rsid w:val="004C3F1D"/>
    <w:rsid w:val="004C458D"/>
    <w:rsid w:val="004C7556"/>
    <w:rsid w:val="004C7E9D"/>
    <w:rsid w:val="004C7F67"/>
    <w:rsid w:val="004D076D"/>
    <w:rsid w:val="004D0EF1"/>
    <w:rsid w:val="004D189E"/>
    <w:rsid w:val="004D2253"/>
    <w:rsid w:val="004D33C5"/>
    <w:rsid w:val="004D4406"/>
    <w:rsid w:val="004D7C42"/>
    <w:rsid w:val="004E034B"/>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22F"/>
    <w:rsid w:val="00541853"/>
    <w:rsid w:val="00543BDA"/>
    <w:rsid w:val="005441CC"/>
    <w:rsid w:val="0054465F"/>
    <w:rsid w:val="005479DA"/>
    <w:rsid w:val="00547BCC"/>
    <w:rsid w:val="0055013B"/>
    <w:rsid w:val="00551097"/>
    <w:rsid w:val="00551F6F"/>
    <w:rsid w:val="00555044"/>
    <w:rsid w:val="00561475"/>
    <w:rsid w:val="0056487B"/>
    <w:rsid w:val="00564FB9"/>
    <w:rsid w:val="00573D9E"/>
    <w:rsid w:val="00574025"/>
    <w:rsid w:val="00575611"/>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22CA"/>
    <w:rsid w:val="0064528D"/>
    <w:rsid w:val="00645904"/>
    <w:rsid w:val="00651ACB"/>
    <w:rsid w:val="00651C47"/>
    <w:rsid w:val="00651C96"/>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6F695B"/>
    <w:rsid w:val="007002C5"/>
    <w:rsid w:val="00701F7C"/>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7D4"/>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8480E"/>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28C"/>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B7B"/>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0EA"/>
    <w:rsid w:val="00883F93"/>
    <w:rsid w:val="00884DB3"/>
    <w:rsid w:val="00885A9D"/>
    <w:rsid w:val="008864F6"/>
    <w:rsid w:val="0089049D"/>
    <w:rsid w:val="008923F4"/>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52AF"/>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11B0"/>
    <w:rsid w:val="00902722"/>
    <w:rsid w:val="009027BC"/>
    <w:rsid w:val="009047E3"/>
    <w:rsid w:val="0090617C"/>
    <w:rsid w:val="009062E6"/>
    <w:rsid w:val="009073B7"/>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2044"/>
    <w:rsid w:val="0096381A"/>
    <w:rsid w:val="00965E04"/>
    <w:rsid w:val="009674AD"/>
    <w:rsid w:val="00970CDC"/>
    <w:rsid w:val="00970DCB"/>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9E"/>
    <w:rsid w:val="009B09E0"/>
    <w:rsid w:val="009B0BC5"/>
    <w:rsid w:val="009B1247"/>
    <w:rsid w:val="009B5D1F"/>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269D6"/>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5036"/>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36C0"/>
    <w:rsid w:val="00B049AF"/>
    <w:rsid w:val="00B07242"/>
    <w:rsid w:val="00B10534"/>
    <w:rsid w:val="00B113DB"/>
    <w:rsid w:val="00B11D8A"/>
    <w:rsid w:val="00B12981"/>
    <w:rsid w:val="00B147DD"/>
    <w:rsid w:val="00B153AB"/>
    <w:rsid w:val="00B156FD"/>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3697"/>
    <w:rsid w:val="00BB5F8F"/>
    <w:rsid w:val="00BB657A"/>
    <w:rsid w:val="00BC1A4E"/>
    <w:rsid w:val="00BC5DC7"/>
    <w:rsid w:val="00BC6B41"/>
    <w:rsid w:val="00BC6B8B"/>
    <w:rsid w:val="00BC73D8"/>
    <w:rsid w:val="00BD1D94"/>
    <w:rsid w:val="00BD47A2"/>
    <w:rsid w:val="00BD52D7"/>
    <w:rsid w:val="00BD5AD2"/>
    <w:rsid w:val="00BE22F3"/>
    <w:rsid w:val="00BE41AC"/>
    <w:rsid w:val="00BE5B52"/>
    <w:rsid w:val="00BE7B8D"/>
    <w:rsid w:val="00BF0993"/>
    <w:rsid w:val="00BF10A9"/>
    <w:rsid w:val="00BF1278"/>
    <w:rsid w:val="00BF1703"/>
    <w:rsid w:val="00BF231C"/>
    <w:rsid w:val="00BF43AA"/>
    <w:rsid w:val="00BF51E5"/>
    <w:rsid w:val="00BF74A6"/>
    <w:rsid w:val="00BF7718"/>
    <w:rsid w:val="00C013AD"/>
    <w:rsid w:val="00C020FB"/>
    <w:rsid w:val="00C048C5"/>
    <w:rsid w:val="00C04904"/>
    <w:rsid w:val="00C056B3"/>
    <w:rsid w:val="00C103E5"/>
    <w:rsid w:val="00C13319"/>
    <w:rsid w:val="00C13EE9"/>
    <w:rsid w:val="00C21540"/>
    <w:rsid w:val="00C21906"/>
    <w:rsid w:val="00C21BFA"/>
    <w:rsid w:val="00C24C8D"/>
    <w:rsid w:val="00C25FE2"/>
    <w:rsid w:val="00C260F4"/>
    <w:rsid w:val="00C26B53"/>
    <w:rsid w:val="00C279B2"/>
    <w:rsid w:val="00C3070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735"/>
    <w:rsid w:val="00D51BF3"/>
    <w:rsid w:val="00D54B98"/>
    <w:rsid w:val="00D56D85"/>
    <w:rsid w:val="00D66846"/>
    <w:rsid w:val="00D675FB"/>
    <w:rsid w:val="00D71F25"/>
    <w:rsid w:val="00D77031"/>
    <w:rsid w:val="00D81136"/>
    <w:rsid w:val="00D84941"/>
    <w:rsid w:val="00D84FA1"/>
    <w:rsid w:val="00D851F0"/>
    <w:rsid w:val="00D86DB7"/>
    <w:rsid w:val="00D905F3"/>
    <w:rsid w:val="00D9060C"/>
    <w:rsid w:val="00D926D0"/>
    <w:rsid w:val="00D93030"/>
    <w:rsid w:val="00D950E1"/>
    <w:rsid w:val="00D952A6"/>
    <w:rsid w:val="00D96B08"/>
    <w:rsid w:val="00D97F99"/>
    <w:rsid w:val="00DA1E08"/>
    <w:rsid w:val="00DA24F8"/>
    <w:rsid w:val="00DA28E8"/>
    <w:rsid w:val="00DA38D3"/>
    <w:rsid w:val="00DA3932"/>
    <w:rsid w:val="00DA3AFC"/>
    <w:rsid w:val="00DA64F8"/>
    <w:rsid w:val="00DA6C15"/>
    <w:rsid w:val="00DB38EE"/>
    <w:rsid w:val="00DB498B"/>
    <w:rsid w:val="00DB63D5"/>
    <w:rsid w:val="00DB66CA"/>
    <w:rsid w:val="00DB6BCA"/>
    <w:rsid w:val="00DB7113"/>
    <w:rsid w:val="00DC0321"/>
    <w:rsid w:val="00DC2DFA"/>
    <w:rsid w:val="00DC3067"/>
    <w:rsid w:val="00DC370B"/>
    <w:rsid w:val="00DC521C"/>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5D16"/>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4E52"/>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3BD2"/>
    <w:rsid w:val="00F451EA"/>
    <w:rsid w:val="00F45447"/>
    <w:rsid w:val="00F456C6"/>
    <w:rsid w:val="00F4577B"/>
    <w:rsid w:val="00F46496"/>
    <w:rsid w:val="00F474D0"/>
    <w:rsid w:val="00F50179"/>
    <w:rsid w:val="00F52FCA"/>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42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7408D5"/>
    <w:rsid w:val="02924A37"/>
    <w:rsid w:val="03E7461E"/>
    <w:rsid w:val="050C10A9"/>
    <w:rsid w:val="078F0A39"/>
    <w:rsid w:val="091361A6"/>
    <w:rsid w:val="09970B85"/>
    <w:rsid w:val="0A410AF1"/>
    <w:rsid w:val="0BBC0A15"/>
    <w:rsid w:val="0BF5245A"/>
    <w:rsid w:val="0E0300E6"/>
    <w:rsid w:val="0F3D2385"/>
    <w:rsid w:val="0F661BEE"/>
    <w:rsid w:val="10865A73"/>
    <w:rsid w:val="11EA7FA3"/>
    <w:rsid w:val="11ED1CC8"/>
    <w:rsid w:val="11F85F3F"/>
    <w:rsid w:val="13FC1581"/>
    <w:rsid w:val="154C4723"/>
    <w:rsid w:val="15FF4FF5"/>
    <w:rsid w:val="18E92A1D"/>
    <w:rsid w:val="196C63F3"/>
    <w:rsid w:val="19756E91"/>
    <w:rsid w:val="1A4B575E"/>
    <w:rsid w:val="1B4D5917"/>
    <w:rsid w:val="1C2955BE"/>
    <w:rsid w:val="1C8152BE"/>
    <w:rsid w:val="1CFF45C7"/>
    <w:rsid w:val="1E6A6411"/>
    <w:rsid w:val="1E950D9D"/>
    <w:rsid w:val="1F060F1E"/>
    <w:rsid w:val="21176E2C"/>
    <w:rsid w:val="225E539E"/>
    <w:rsid w:val="22DB78DD"/>
    <w:rsid w:val="23F55382"/>
    <w:rsid w:val="240770B2"/>
    <w:rsid w:val="25DD3D90"/>
    <w:rsid w:val="25E87F6B"/>
    <w:rsid w:val="263F2F39"/>
    <w:rsid w:val="26571970"/>
    <w:rsid w:val="283E688B"/>
    <w:rsid w:val="28B8110D"/>
    <w:rsid w:val="2AA805EA"/>
    <w:rsid w:val="2B5231F7"/>
    <w:rsid w:val="2BD16468"/>
    <w:rsid w:val="2DB52DBB"/>
    <w:rsid w:val="2E766E81"/>
    <w:rsid w:val="2FA503B5"/>
    <w:rsid w:val="2FEB6D20"/>
    <w:rsid w:val="32BC3287"/>
    <w:rsid w:val="338F0F27"/>
    <w:rsid w:val="33BE302F"/>
    <w:rsid w:val="34346C67"/>
    <w:rsid w:val="36F1092F"/>
    <w:rsid w:val="383513E6"/>
    <w:rsid w:val="385B3F65"/>
    <w:rsid w:val="389F4078"/>
    <w:rsid w:val="390A467E"/>
    <w:rsid w:val="391E7353"/>
    <w:rsid w:val="39E97A2F"/>
    <w:rsid w:val="3A830A46"/>
    <w:rsid w:val="3AA12D62"/>
    <w:rsid w:val="3AB36E76"/>
    <w:rsid w:val="3C0356A1"/>
    <w:rsid w:val="3F5D1104"/>
    <w:rsid w:val="3FB8DD0C"/>
    <w:rsid w:val="3FBFC8D2"/>
    <w:rsid w:val="40A1543F"/>
    <w:rsid w:val="40A627FD"/>
    <w:rsid w:val="40E85247"/>
    <w:rsid w:val="417D4A0A"/>
    <w:rsid w:val="429F5419"/>
    <w:rsid w:val="43E45E68"/>
    <w:rsid w:val="453B3E56"/>
    <w:rsid w:val="45FF1512"/>
    <w:rsid w:val="46485892"/>
    <w:rsid w:val="467B090B"/>
    <w:rsid w:val="4690682C"/>
    <w:rsid w:val="471A5A3D"/>
    <w:rsid w:val="473A94DB"/>
    <w:rsid w:val="478C02B5"/>
    <w:rsid w:val="486136AC"/>
    <w:rsid w:val="487B2E45"/>
    <w:rsid w:val="49DF1DF3"/>
    <w:rsid w:val="4B5E4F59"/>
    <w:rsid w:val="4C985147"/>
    <w:rsid w:val="4D226B42"/>
    <w:rsid w:val="4E0B62AA"/>
    <w:rsid w:val="4E837CBE"/>
    <w:rsid w:val="4FE77F7D"/>
    <w:rsid w:val="50067238"/>
    <w:rsid w:val="50211413"/>
    <w:rsid w:val="5301326B"/>
    <w:rsid w:val="5305043B"/>
    <w:rsid w:val="538C2DD7"/>
    <w:rsid w:val="539C16E7"/>
    <w:rsid w:val="540C7DCC"/>
    <w:rsid w:val="545571E3"/>
    <w:rsid w:val="54706D22"/>
    <w:rsid w:val="54F762E8"/>
    <w:rsid w:val="55920CCF"/>
    <w:rsid w:val="55981C87"/>
    <w:rsid w:val="55A146F3"/>
    <w:rsid w:val="55D753A3"/>
    <w:rsid w:val="55F144DD"/>
    <w:rsid w:val="55FF6B35"/>
    <w:rsid w:val="58DF20B1"/>
    <w:rsid w:val="5A596DE6"/>
    <w:rsid w:val="5B095456"/>
    <w:rsid w:val="5B3C6463"/>
    <w:rsid w:val="5BFD4B59"/>
    <w:rsid w:val="5CA2489E"/>
    <w:rsid w:val="5CFB0B2D"/>
    <w:rsid w:val="5D284EF1"/>
    <w:rsid w:val="5D6014DA"/>
    <w:rsid w:val="5DFE724C"/>
    <w:rsid w:val="5E661AE7"/>
    <w:rsid w:val="5F1352AE"/>
    <w:rsid w:val="5F461799"/>
    <w:rsid w:val="5FEB06CC"/>
    <w:rsid w:val="5FFB4B3F"/>
    <w:rsid w:val="6081254B"/>
    <w:rsid w:val="61952D71"/>
    <w:rsid w:val="62F31AFE"/>
    <w:rsid w:val="63860BC4"/>
    <w:rsid w:val="64FF16AF"/>
    <w:rsid w:val="6510164E"/>
    <w:rsid w:val="65864B9B"/>
    <w:rsid w:val="65AF62ED"/>
    <w:rsid w:val="65C71020"/>
    <w:rsid w:val="66174CA7"/>
    <w:rsid w:val="66177036"/>
    <w:rsid w:val="67527413"/>
    <w:rsid w:val="67BF7237"/>
    <w:rsid w:val="67EC2B21"/>
    <w:rsid w:val="681517DB"/>
    <w:rsid w:val="687F3E33"/>
    <w:rsid w:val="69FE487D"/>
    <w:rsid w:val="6AF0F59A"/>
    <w:rsid w:val="6B7834E8"/>
    <w:rsid w:val="6BEB2C39"/>
    <w:rsid w:val="6C1D7BEB"/>
    <w:rsid w:val="6C6F29D6"/>
    <w:rsid w:val="6F6D1A77"/>
    <w:rsid w:val="6FCE6D6B"/>
    <w:rsid w:val="6FEFF26F"/>
    <w:rsid w:val="70117A67"/>
    <w:rsid w:val="70C2783D"/>
    <w:rsid w:val="71462666"/>
    <w:rsid w:val="73BF9231"/>
    <w:rsid w:val="73DB177B"/>
    <w:rsid w:val="75525285"/>
    <w:rsid w:val="75FB1923"/>
    <w:rsid w:val="76805BC7"/>
    <w:rsid w:val="773E630C"/>
    <w:rsid w:val="78222A51"/>
    <w:rsid w:val="78A84795"/>
    <w:rsid w:val="78E67083"/>
    <w:rsid w:val="7A2F56C4"/>
    <w:rsid w:val="7AD74DF1"/>
    <w:rsid w:val="7AFF5352"/>
    <w:rsid w:val="7B9EB23B"/>
    <w:rsid w:val="7C9A0055"/>
    <w:rsid w:val="7CDF7E04"/>
    <w:rsid w:val="7D16490F"/>
    <w:rsid w:val="7D380D0F"/>
    <w:rsid w:val="7DC909E3"/>
    <w:rsid w:val="7E4F012F"/>
    <w:rsid w:val="7E57F0FF"/>
    <w:rsid w:val="7EED1A2A"/>
    <w:rsid w:val="7EED77F1"/>
    <w:rsid w:val="7F127523"/>
    <w:rsid w:val="7F3B5401"/>
    <w:rsid w:val="7F571402"/>
    <w:rsid w:val="7F846955"/>
    <w:rsid w:val="7F9D57B2"/>
    <w:rsid w:val="7FCB76E2"/>
    <w:rsid w:val="7FF36892"/>
    <w:rsid w:val="A3EF8D9A"/>
    <w:rsid w:val="BAD7DB0C"/>
    <w:rsid w:val="BDFF697F"/>
    <w:rsid w:val="DD2F7909"/>
    <w:rsid w:val="DDE7903E"/>
    <w:rsid w:val="DDFEA051"/>
    <w:rsid w:val="DFB39957"/>
    <w:rsid w:val="DFE70373"/>
    <w:rsid w:val="DFEF5FC0"/>
    <w:rsid w:val="EAEBE134"/>
    <w:rsid w:val="EEA71971"/>
    <w:rsid w:val="EED00227"/>
    <w:rsid w:val="EFFD973B"/>
    <w:rsid w:val="F6BF4B68"/>
    <w:rsid w:val="FF5F6AB7"/>
    <w:rsid w:val="FFEA1811"/>
    <w:rsid w:val="FFF38AB3"/>
    <w:rsid w:val="FFFBEF5A"/>
    <w:rsid w:val="FFFCC9B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35">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35"/>
    <w:unhideWhenUsed/>
    <w:qFormat/>
    <w:uiPriority w:val="99"/>
    <w:rPr>
      <w:b/>
      <w:bCs/>
    </w:rPr>
  </w:style>
  <w:style w:type="paragraph" w:styleId="12">
    <w:name w:val="annotation text"/>
    <w:basedOn w:val="1"/>
    <w:link w:val="234"/>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89"/>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annotation reference"/>
    <w:basedOn w:val="28"/>
    <w:unhideWhenUsed/>
    <w:qFormat/>
    <w:uiPriority w:val="99"/>
    <w:rPr>
      <w:sz w:val="21"/>
      <w:szCs w:val="21"/>
    </w:rPr>
  </w:style>
  <w:style w:type="character" w:styleId="34">
    <w:name w:val="footnote reference"/>
    <w:semiHidden/>
    <w:qFormat/>
    <w:uiPriority w:val="0"/>
    <w:rPr>
      <w:rFonts w:ascii="宋体" w:hAnsi="宋体" w:eastAsia="宋体" w:cs="Times New Roman"/>
      <w:spacing w:val="0"/>
      <w:sz w:val="18"/>
      <w:vertAlign w:val="superscript"/>
    </w:rPr>
  </w:style>
  <w:style w:type="table" w:styleId="36">
    <w:name w:val="Table Grid"/>
    <w:basedOn w:val="3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20"/>
    <w:qFormat/>
    <w:uiPriority w:val="99"/>
    <w:rPr>
      <w:kern w:val="2"/>
      <w:sz w:val="18"/>
      <w:szCs w:val="18"/>
    </w:rPr>
  </w:style>
  <w:style w:type="character" w:customStyle="1" w:styleId="47">
    <w:name w:val="页脚 Char"/>
    <w:link w:val="19"/>
    <w:qFormat/>
    <w:uiPriority w:val="99"/>
    <w:rPr>
      <w:rFonts w:ascii="宋体"/>
      <w:kern w:val="2"/>
      <w:sz w:val="18"/>
      <w:szCs w:val="18"/>
    </w:rPr>
  </w:style>
  <w:style w:type="character" w:customStyle="1" w:styleId="48">
    <w:name w:val="批注框文本 Char"/>
    <w:link w:val="18"/>
    <w:semiHidden/>
    <w:qFormat/>
    <w:uiPriority w:val="99"/>
    <w:rPr>
      <w:kern w:val="2"/>
      <w:sz w:val="18"/>
      <w:szCs w:val="18"/>
    </w:rPr>
  </w:style>
  <w:style w:type="paragraph" w:customStyle="1" w:styleId="49">
    <w:name w:val="引用1"/>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5"/>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tabs>
        <w:tab w:val="left" w:pos="851"/>
      </w:tabs>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customStyle="1" w:styleId="189">
    <w:name w:val="占位符文本1"/>
    <w:basedOn w:val="28"/>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28"/>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28"/>
    <w:qFormat/>
    <w:uiPriority w:val="0"/>
    <w:rPr>
      <w:rFonts w:ascii="黑体" w:eastAsia="黑体"/>
      <w:spacing w:val="85"/>
      <w:w w:val="100"/>
      <w:position w:val="3"/>
      <w:sz w:val="28"/>
      <w:szCs w:val="28"/>
    </w:rPr>
  </w:style>
  <w:style w:type="table" w:customStyle="1" w:styleId="233">
    <w:name w:val="网格型1"/>
    <w:basedOn w:val="3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34">
    <w:name w:val="批注文字 Char"/>
    <w:basedOn w:val="28"/>
    <w:link w:val="12"/>
    <w:semiHidden/>
    <w:qFormat/>
    <w:uiPriority w:val="99"/>
    <w:rPr>
      <w:rFonts w:ascii="Calibri" w:hAnsi="Calibri"/>
      <w:kern w:val="2"/>
      <w:sz w:val="21"/>
      <w:szCs w:val="21"/>
    </w:rPr>
  </w:style>
  <w:style w:type="character" w:customStyle="1" w:styleId="235">
    <w:name w:val="批注主题 Char"/>
    <w:basedOn w:val="234"/>
    <w:link w:val="11"/>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E1C6915CD944AB4BD3E2AE3BF0F1E58"/>
        <w:style w:val=""/>
        <w:category>
          <w:name w:val="常规"/>
          <w:gallery w:val="placeholder"/>
        </w:category>
        <w:types>
          <w:type w:val="bbPlcHdr"/>
        </w:types>
        <w:behaviors>
          <w:behavior w:val="content"/>
        </w:behaviors>
        <w:description w:val=""/>
        <w:guid w:val="{04C8C339-B18C-467D-BDEF-E751D919C5D2}"/>
      </w:docPartPr>
      <w:docPartBody>
        <w:p>
          <w:pPr>
            <w:pStyle w:val="5"/>
          </w:pPr>
          <w:r>
            <w:rPr>
              <w:rStyle w:val="4"/>
              <w:rFonts w:hint="eastAsia"/>
            </w:rPr>
            <w:t>单击或点击此处输入文字。</w:t>
          </w:r>
        </w:p>
      </w:docPartBody>
    </w:docPart>
    <w:docPart>
      <w:docPartPr>
        <w:name w:val="{0801285a-1e71-4e58-ab86-1e858d0229eb}"/>
        <w:style w:val=""/>
        <w:category>
          <w:name w:val="常规"/>
          <w:gallery w:val="placeholder"/>
        </w:category>
        <w:types>
          <w:type w:val="bbPlcHdr"/>
        </w:types>
        <w:behaviors>
          <w:behavior w:val="content"/>
        </w:behaviors>
        <w:description w:val=""/>
        <w:guid w:val="{0801285A-1E71-4E58-AB86-1E858D0229EB}"/>
      </w:docPartPr>
      <w:docPartBody>
        <w:p>
          <w:pPr>
            <w:pStyle w:val="5"/>
          </w:pPr>
          <w:r>
            <w:rPr>
              <w:rStyle w:val="4"/>
              <w:rFonts w:hint="eastAsia"/>
            </w:rPr>
            <w:t>单击或点击此处输入文字。</w:t>
          </w:r>
        </w:p>
      </w:docPartBody>
    </w:docPart>
    <w:docPart>
      <w:docPartPr>
        <w:name w:val="{85aeacb1-7ba0-433b-be1c-bb4a9cf15aa8}"/>
        <w:style w:val=""/>
        <w:category>
          <w:name w:val="常规"/>
          <w:gallery w:val="placeholder"/>
        </w:category>
        <w:types>
          <w:type w:val="bbPlcHdr"/>
        </w:types>
        <w:behaviors>
          <w:behavior w:val="content"/>
        </w:behaviors>
        <w:description w:val=""/>
        <w:guid w:val="{85AEACB1-7BA0-433B-BE1C-BB4A9CF15AA8}"/>
      </w:docPartPr>
      <w:docPartBody>
        <w:p>
          <w:pPr>
            <w:pStyle w:val="6"/>
          </w:pPr>
          <w:r>
            <w:rPr>
              <w:rStyle w:val="4"/>
              <w:rFonts w:hint="eastAsia"/>
            </w:rPr>
            <w:t>选择一项。</w:t>
          </w:r>
        </w:p>
      </w:docPartBody>
    </w:docPart>
    <w:docPart>
      <w:docPartPr>
        <w:name w:val="{16586322-c3ac-42d1-b600-5ed3001a570f}"/>
        <w:style w:val=""/>
        <w:category>
          <w:name w:val="常规"/>
          <w:gallery w:val="placeholder"/>
        </w:category>
        <w:types>
          <w:type w:val="bbPlcHdr"/>
        </w:types>
        <w:behaviors>
          <w:behavior w:val="content"/>
        </w:behaviors>
        <w:description w:val=""/>
        <w:guid w:val="{16586322-C3AC-42D1-B600-5ED3001A570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Hiragino Sans GB">
    <w:altName w:val="Segoe Print"/>
    <w:panose1 w:val="00000000000000000000"/>
    <w:charset w:val="00"/>
    <w:family w:val="auto"/>
    <w:pitch w:val="default"/>
    <w:sig w:usb0="00000000" w:usb1="00000000" w:usb2="00000000" w:usb3="00000000" w:csb0="00040001" w:csb1="00000000"/>
  </w:font>
  <w:font w:name="AdobeHeitiStd-Regular">
    <w:altName w:val="宋体"/>
    <w:panose1 w:val="00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5B1"/>
    <w:rsid w:val="00004D3E"/>
    <w:rsid w:val="00095248"/>
    <w:rsid w:val="00115E44"/>
    <w:rsid w:val="00180ABE"/>
    <w:rsid w:val="0022045E"/>
    <w:rsid w:val="002F201A"/>
    <w:rsid w:val="00484851"/>
    <w:rsid w:val="005067A8"/>
    <w:rsid w:val="005415EC"/>
    <w:rsid w:val="006F30BA"/>
    <w:rsid w:val="00725DBB"/>
    <w:rsid w:val="007A1FBC"/>
    <w:rsid w:val="007F654A"/>
    <w:rsid w:val="00862184"/>
    <w:rsid w:val="00995B2D"/>
    <w:rsid w:val="00C6006A"/>
    <w:rsid w:val="00ED456F"/>
    <w:rsid w:val="00F255B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2E1C6915CD944AB4BD3E2AE3BF0F1E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6846CECFBAA4BF388F12800392D8C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4A3E6FEB7D64CE6A53E41AC4052082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Pages>
  <Words>1761</Words>
  <Characters>10044</Characters>
  <Lines>83</Lines>
  <Paragraphs>23</Paragraphs>
  <TotalTime>0</TotalTime>
  <ScaleCrop>false</ScaleCrop>
  <LinksUpToDate>false</LinksUpToDate>
  <CharactersWithSpaces>11782</CharactersWithSpaces>
  <Application>WPS Office_10.8.0.5800_F1E327BC-269C-435d-A152-05C5408002CA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2025-12-09T09:29:00Z</dcterms:created>
  <dc:creator>Xieb</dc:creator>
  <dc:description>&lt;config cover="true" show_menu="true" version="1.0.0" doctype="SDKXY"&gt;_x000d_
&lt;/config&gt;</dc:description>
  <cp:lastModifiedBy>李旗</cp:lastModifiedBy>
  <cp:lastPrinted>2021-02-10T08:18:00Z</cp:lastPrinted>
  <dcterms:modified xsi:type="dcterms:W3CDTF">2026-01-04T01:32:38Z</dcterms:modified>
  <dc:title>行业标准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2052-10.8.0.5800</vt:lpwstr>
  </property>
  <property fmtid="{D5CDD505-2E9C-101B-9397-08002B2CF9AE}" pid="15" name="ICV">
    <vt:lpwstr>FAF5BE79E7DCB3FF13B52769B73125FF_43</vt:lpwstr>
  </property>
  <property fmtid="{D5CDD505-2E9C-101B-9397-08002B2CF9AE}" pid="16" name="KSOTemplateDocerSaveRecord">
    <vt:lpwstr>eyJoZGlkIjoiNGJiNzhmZTVhMzYxNjJkMTMwNWU4NTIzNzE4MzBiZjAiLCJ1c2VySWQiOiIxNTExMzU4MTAwIn0=</vt:lpwstr>
  </property>
</Properties>
</file>